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4C21" w14:textId="0DBDB858" w:rsidR="00C27BFB" w:rsidRPr="0015041B" w:rsidRDefault="00252973" w:rsidP="0025297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596232" w:rsidRPr="0015041B">
        <w:rPr>
          <w:b/>
          <w:sz w:val="20"/>
          <w:szCs w:val="20"/>
        </w:rPr>
        <w:t xml:space="preserve"> </w:t>
      </w:r>
      <w:r w:rsidR="00F26EC8">
        <w:rPr>
          <w:b/>
          <w:sz w:val="20"/>
          <w:szCs w:val="20"/>
        </w:rPr>
        <w:t>№2</w:t>
      </w:r>
      <w:bookmarkStart w:id="0" w:name="_GoBack"/>
      <w:bookmarkEnd w:id="0"/>
    </w:p>
    <w:p w14:paraId="560475C3" w14:textId="7AA3FF2C" w:rsidR="00C27BFB" w:rsidRPr="0015041B" w:rsidRDefault="007F70B4" w:rsidP="00252973">
      <w:pPr>
        <w:spacing w:after="0" w:line="240" w:lineRule="auto"/>
        <w:rPr>
          <w:b/>
          <w:sz w:val="20"/>
          <w:szCs w:val="20"/>
        </w:rPr>
      </w:pPr>
      <w:r w:rsidRPr="0015041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252973">
        <w:rPr>
          <w:b/>
          <w:sz w:val="20"/>
          <w:szCs w:val="20"/>
        </w:rPr>
        <w:t xml:space="preserve">         </w:t>
      </w:r>
      <w:r w:rsidR="00AE46AC" w:rsidRPr="0015041B">
        <w:rPr>
          <w:b/>
          <w:sz w:val="20"/>
          <w:szCs w:val="20"/>
        </w:rPr>
        <w:t xml:space="preserve"> к</w:t>
      </w:r>
      <w:r w:rsidRPr="0015041B">
        <w:rPr>
          <w:b/>
          <w:sz w:val="20"/>
          <w:szCs w:val="20"/>
        </w:rPr>
        <w:t xml:space="preserve">    </w:t>
      </w:r>
      <w:r w:rsidR="00596232" w:rsidRPr="0015041B">
        <w:rPr>
          <w:b/>
          <w:sz w:val="20"/>
          <w:szCs w:val="20"/>
        </w:rPr>
        <w:t xml:space="preserve">Плану мероприятий («дорожной карте») по </w:t>
      </w:r>
      <w:r w:rsidR="00252973">
        <w:rPr>
          <w:b/>
          <w:sz w:val="20"/>
          <w:szCs w:val="20"/>
        </w:rPr>
        <w:t xml:space="preserve">  </w:t>
      </w:r>
      <w:r w:rsidR="00252973" w:rsidRPr="0015041B">
        <w:rPr>
          <w:b/>
          <w:sz w:val="20"/>
          <w:szCs w:val="20"/>
        </w:rPr>
        <w:t>содействию</w:t>
      </w:r>
      <w:r w:rsidR="00252973">
        <w:rPr>
          <w:b/>
          <w:sz w:val="20"/>
          <w:szCs w:val="20"/>
        </w:rPr>
        <w:t xml:space="preserve">                          </w:t>
      </w:r>
    </w:p>
    <w:p w14:paraId="090A7094" w14:textId="77777777" w:rsidR="00252973" w:rsidRPr="0015041B" w:rsidRDefault="00C27BFB" w:rsidP="00252973">
      <w:pPr>
        <w:spacing w:after="0" w:line="240" w:lineRule="auto"/>
        <w:rPr>
          <w:b/>
          <w:sz w:val="20"/>
          <w:szCs w:val="20"/>
        </w:rPr>
      </w:pPr>
      <w:r w:rsidRPr="0015041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96232" w:rsidRPr="0015041B">
        <w:rPr>
          <w:b/>
          <w:sz w:val="20"/>
          <w:szCs w:val="20"/>
        </w:rPr>
        <w:t>развитию конкуренции</w:t>
      </w:r>
      <w:r w:rsidR="007F70B4" w:rsidRPr="0015041B">
        <w:rPr>
          <w:b/>
          <w:sz w:val="20"/>
          <w:szCs w:val="20"/>
        </w:rPr>
        <w:t xml:space="preserve"> в МР «</w:t>
      </w:r>
      <w:proofErr w:type="spellStart"/>
      <w:r w:rsidR="007F70B4" w:rsidRPr="0015041B">
        <w:rPr>
          <w:b/>
          <w:sz w:val="20"/>
          <w:szCs w:val="20"/>
        </w:rPr>
        <w:t>Рутульском</w:t>
      </w:r>
      <w:proofErr w:type="spellEnd"/>
      <w:r w:rsidR="007F70B4" w:rsidRPr="0015041B">
        <w:rPr>
          <w:b/>
          <w:sz w:val="20"/>
          <w:szCs w:val="20"/>
        </w:rPr>
        <w:t xml:space="preserve"> </w:t>
      </w:r>
      <w:r w:rsidR="00E30640" w:rsidRPr="0015041B">
        <w:rPr>
          <w:b/>
          <w:sz w:val="20"/>
          <w:szCs w:val="20"/>
        </w:rPr>
        <w:t xml:space="preserve">район» </w:t>
      </w:r>
      <w:r w:rsidR="00252973" w:rsidRPr="0015041B">
        <w:rPr>
          <w:b/>
          <w:sz w:val="20"/>
          <w:szCs w:val="20"/>
        </w:rPr>
        <w:t>на 2022-2025 годы</w:t>
      </w:r>
    </w:p>
    <w:p w14:paraId="0F2D96E2" w14:textId="3356E797" w:rsidR="00252973" w:rsidRDefault="00252973" w:rsidP="00252973">
      <w:pPr>
        <w:spacing w:after="0" w:line="240" w:lineRule="auto"/>
        <w:rPr>
          <w:b/>
          <w:sz w:val="20"/>
          <w:szCs w:val="20"/>
        </w:rPr>
      </w:pPr>
    </w:p>
    <w:p w14:paraId="752ADBD3" w14:textId="77777777" w:rsidR="00252973" w:rsidRDefault="00252973" w:rsidP="00596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1FCA77AE" w14:textId="77777777" w:rsidR="00252973" w:rsidRDefault="00252973" w:rsidP="00596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73736319" w14:textId="77777777" w:rsidR="00252973" w:rsidRDefault="00252973" w:rsidP="00596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4CD59258" w14:textId="355E085B" w:rsidR="00596232" w:rsidRPr="00A961E0" w:rsidRDefault="00596232" w:rsidP="00596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9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СИСТЕМНЫЕ МЕРОПРИЯТИЯ</w:t>
      </w:r>
    </w:p>
    <w:p w14:paraId="385C299D" w14:textId="77777777" w:rsidR="00596232" w:rsidRPr="00A961E0" w:rsidRDefault="00596232" w:rsidP="00596232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9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содействию развитию конкуренции в </w:t>
      </w:r>
      <w:r w:rsidR="00CF3358" w:rsidRPr="00A9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муниципальном районе «Рутульский район» Республики</w:t>
      </w:r>
      <w:r w:rsidRPr="00A9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Дагестан на 2022-2025 годы</w:t>
      </w:r>
    </w:p>
    <w:tbl>
      <w:tblPr>
        <w:tblStyle w:val="a3"/>
        <w:tblW w:w="15479" w:type="dxa"/>
        <w:tblLayout w:type="fixed"/>
        <w:tblLook w:val="04A0" w:firstRow="1" w:lastRow="0" w:firstColumn="1" w:lastColumn="0" w:noHBand="0" w:noVBand="1"/>
      </w:tblPr>
      <w:tblGrid>
        <w:gridCol w:w="492"/>
        <w:gridCol w:w="4323"/>
        <w:gridCol w:w="1781"/>
        <w:gridCol w:w="3180"/>
        <w:gridCol w:w="992"/>
        <w:gridCol w:w="2943"/>
        <w:gridCol w:w="1768"/>
      </w:tblGrid>
      <w:tr w:rsidR="0015041B" w:rsidRPr="00E30640" w14:paraId="39AF70F2" w14:textId="77777777" w:rsidTr="0015041B">
        <w:trPr>
          <w:trHeight w:val="1489"/>
        </w:trPr>
        <w:tc>
          <w:tcPr>
            <w:tcW w:w="492" w:type="dxa"/>
          </w:tcPr>
          <w:p w14:paraId="5FE3597B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5695813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42B5383D" w14:textId="2FECAB03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4323" w:type="dxa"/>
          </w:tcPr>
          <w:p w14:paraId="78B0C311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7C3E2985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3D3B4B96" w14:textId="303855BE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781" w:type="dxa"/>
          </w:tcPr>
          <w:p w14:paraId="26CF81A6" w14:textId="585D5EDA" w:rsidR="00C27BFB" w:rsidRPr="00E30640" w:rsidRDefault="00CA0CBC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Описание</w:t>
            </w:r>
            <w:r w:rsidR="007F70B4"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7F70B4"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проблемы,на</w:t>
            </w:r>
            <w:proofErr w:type="spellEnd"/>
            <w:r w:rsidR="007F70B4"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решение которой направлено мероприятие</w:t>
            </w:r>
          </w:p>
        </w:tc>
        <w:tc>
          <w:tcPr>
            <w:tcW w:w="3180" w:type="dxa"/>
          </w:tcPr>
          <w:p w14:paraId="0FF763B8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71DC577F" w14:textId="55649D67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Ключевое событие</w:t>
            </w:r>
          </w:p>
          <w:p w14:paraId="01AD9413" w14:textId="5EE60EF0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</w:tc>
        <w:tc>
          <w:tcPr>
            <w:tcW w:w="992" w:type="dxa"/>
          </w:tcPr>
          <w:p w14:paraId="7E133D37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4CFB09A2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7B165D6A" w14:textId="43206622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срок</w:t>
            </w:r>
          </w:p>
        </w:tc>
        <w:tc>
          <w:tcPr>
            <w:tcW w:w="2943" w:type="dxa"/>
          </w:tcPr>
          <w:p w14:paraId="7642FE91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701D2E58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40A9469" w14:textId="032CFE1C" w:rsidR="00C27BFB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Вид документа</w:t>
            </w:r>
          </w:p>
        </w:tc>
        <w:tc>
          <w:tcPr>
            <w:tcW w:w="1768" w:type="dxa"/>
          </w:tcPr>
          <w:p w14:paraId="36B65B5A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57CA6AD4" w14:textId="77777777" w:rsidR="007F70B4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44EC5616" w14:textId="0CDB6550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</w:tc>
      </w:tr>
      <w:tr w:rsidR="0015041B" w:rsidRPr="00E30640" w14:paraId="1796384F" w14:textId="77777777" w:rsidTr="0015041B">
        <w:trPr>
          <w:trHeight w:val="270"/>
        </w:trPr>
        <w:tc>
          <w:tcPr>
            <w:tcW w:w="492" w:type="dxa"/>
          </w:tcPr>
          <w:p w14:paraId="1A8CBD6C" w14:textId="1679644C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23" w:type="dxa"/>
          </w:tcPr>
          <w:p w14:paraId="244B92FB" w14:textId="3F169432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            2</w:t>
            </w:r>
          </w:p>
        </w:tc>
        <w:tc>
          <w:tcPr>
            <w:tcW w:w="1781" w:type="dxa"/>
          </w:tcPr>
          <w:p w14:paraId="02526A40" w14:textId="6455F454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 3</w:t>
            </w:r>
          </w:p>
        </w:tc>
        <w:tc>
          <w:tcPr>
            <w:tcW w:w="3180" w:type="dxa"/>
          </w:tcPr>
          <w:p w14:paraId="2EC2BC2B" w14:textId="2297FB4E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  4</w:t>
            </w:r>
          </w:p>
        </w:tc>
        <w:tc>
          <w:tcPr>
            <w:tcW w:w="992" w:type="dxa"/>
          </w:tcPr>
          <w:p w14:paraId="7FB989D2" w14:textId="4EB80CCA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5</w:t>
            </w:r>
          </w:p>
        </w:tc>
        <w:tc>
          <w:tcPr>
            <w:tcW w:w="2943" w:type="dxa"/>
          </w:tcPr>
          <w:p w14:paraId="0BE94A15" w14:textId="115AC1EE" w:rsidR="00C27BFB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6</w:t>
            </w:r>
          </w:p>
        </w:tc>
        <w:tc>
          <w:tcPr>
            <w:tcW w:w="1768" w:type="dxa"/>
          </w:tcPr>
          <w:p w14:paraId="0FCBC6CC" w14:textId="68F78D12" w:rsidR="00C27BFB" w:rsidRPr="00E30640" w:rsidRDefault="007F70B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7</w:t>
            </w:r>
          </w:p>
        </w:tc>
      </w:tr>
      <w:tr w:rsidR="0015041B" w:rsidRPr="00E30640" w14:paraId="7F227C29" w14:textId="77777777" w:rsidTr="0015041B">
        <w:trPr>
          <w:trHeight w:val="392"/>
        </w:trPr>
        <w:tc>
          <w:tcPr>
            <w:tcW w:w="492" w:type="dxa"/>
          </w:tcPr>
          <w:p w14:paraId="78FAEB03" w14:textId="77777777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23" w:type="dxa"/>
          </w:tcPr>
          <w:p w14:paraId="4D16DAC2" w14:textId="1FD6931F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b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 xml:space="preserve">Определение состава муниципального имущества, не соответствующего требованиям отнесения категории имущества, предназначенного </w:t>
            </w:r>
            <w:r w:rsidR="008F7CAC" w:rsidRPr="00E30640">
              <w:rPr>
                <w:sz w:val="20"/>
                <w:szCs w:val="20"/>
              </w:rPr>
              <w:t xml:space="preserve">для реализации  функций </w:t>
            </w:r>
            <w:r w:rsidRPr="00E30640">
              <w:rPr>
                <w:sz w:val="20"/>
                <w:szCs w:val="20"/>
              </w:rPr>
              <w:t xml:space="preserve"> полномочий органов местного самоуправления, реализ</w:t>
            </w:r>
            <w:r w:rsidR="008F7CAC" w:rsidRPr="00E30640">
              <w:rPr>
                <w:sz w:val="20"/>
                <w:szCs w:val="20"/>
              </w:rPr>
              <w:t>ацией указанных целях сле</w:t>
            </w:r>
            <w:r w:rsidRPr="00E30640">
              <w:rPr>
                <w:sz w:val="20"/>
                <w:szCs w:val="20"/>
              </w:rPr>
              <w:t xml:space="preserve">дующих мероприятий: составление планов-графиков полной инвентаризации муниципального имущества, том числе закрепленного за </w:t>
            </w:r>
            <w:r w:rsidR="008F7CAC" w:rsidRPr="00E30640">
              <w:rPr>
                <w:sz w:val="20"/>
                <w:szCs w:val="20"/>
              </w:rPr>
              <w:t>предприяти</w:t>
            </w:r>
            <w:r w:rsidRPr="00E30640">
              <w:rPr>
                <w:sz w:val="20"/>
                <w:szCs w:val="20"/>
              </w:rPr>
              <w:t>ями, учреждениями; проведение инвентаризации муниципального имущества, определение муниципального имущества, не соответству</w:t>
            </w:r>
            <w:r w:rsidR="008F7CAC" w:rsidRPr="00E30640">
              <w:rPr>
                <w:sz w:val="20"/>
                <w:szCs w:val="20"/>
              </w:rPr>
              <w:t>ю</w:t>
            </w:r>
            <w:r w:rsidRPr="00E30640">
              <w:rPr>
                <w:sz w:val="20"/>
                <w:szCs w:val="20"/>
              </w:rPr>
              <w:t>щего требованиям отнесения категории имущества, предназначенного для реализации функций полномочий органов местного самоуправления; включение указанного имущества про грамму приватизации, утверждение плана по перепрофилированию</w:t>
            </w:r>
            <w:r w:rsidR="00CF3358" w:rsidRPr="00E30640">
              <w:rPr>
                <w:sz w:val="20"/>
                <w:szCs w:val="20"/>
              </w:rPr>
              <w:t xml:space="preserve"> </w:t>
            </w:r>
            <w:r w:rsidRPr="00E30640">
              <w:rPr>
                <w:sz w:val="20"/>
                <w:szCs w:val="20"/>
              </w:rPr>
              <w:t>имуществ</w:t>
            </w:r>
          </w:p>
        </w:tc>
        <w:tc>
          <w:tcPr>
            <w:tcW w:w="1781" w:type="dxa"/>
          </w:tcPr>
          <w:p w14:paraId="00D32A4F" w14:textId="77777777" w:rsidR="00C27BFB" w:rsidRPr="00252973" w:rsidRDefault="00CF3358" w:rsidP="00596232">
            <w:pPr>
              <w:widowControl w:val="0"/>
              <w:rPr>
                <w:rFonts w:eastAsia="DejaVu Sans" w:cstheme="minorHAnsi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eastAsia="DejaVu Sans" w:cstheme="minorHAnsi"/>
                <w:color w:val="000000"/>
                <w:sz w:val="20"/>
                <w:szCs w:val="20"/>
                <w:lang w:eastAsia="ru-RU" w:bidi="ru-RU"/>
              </w:rPr>
              <w:t>Эффективность использования муниципального имущества</w:t>
            </w:r>
          </w:p>
        </w:tc>
        <w:tc>
          <w:tcPr>
            <w:tcW w:w="3180" w:type="dxa"/>
          </w:tcPr>
          <w:p w14:paraId="400AC668" w14:textId="77777777" w:rsidR="00C27BFB" w:rsidRPr="00E30640" w:rsidRDefault="008F7CAC" w:rsidP="00CF3358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Ф</w:t>
            </w:r>
            <w:r w:rsidR="00CF3358" w:rsidRPr="00E30640">
              <w:rPr>
                <w:sz w:val="20"/>
                <w:szCs w:val="20"/>
              </w:rPr>
              <w:t>ормирование</w:t>
            </w:r>
            <w:r w:rsidRPr="00E30640">
              <w:rPr>
                <w:sz w:val="20"/>
                <w:szCs w:val="20"/>
              </w:rPr>
              <w:t xml:space="preserve"> </w:t>
            </w:r>
            <w:r w:rsidR="00CF3358" w:rsidRPr="00E30640">
              <w:rPr>
                <w:sz w:val="20"/>
                <w:szCs w:val="20"/>
              </w:rPr>
              <w:t>перечня муниципального имущества , не соответствующего требованиям отнесения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992" w:type="dxa"/>
          </w:tcPr>
          <w:p w14:paraId="786A55FA" w14:textId="77777777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1 января 2024 года</w:t>
            </w:r>
          </w:p>
        </w:tc>
        <w:tc>
          <w:tcPr>
            <w:tcW w:w="2943" w:type="dxa"/>
          </w:tcPr>
          <w:p w14:paraId="22714717" w14:textId="1D35886D" w:rsidR="00C27BFB" w:rsidRPr="00E30640" w:rsidRDefault="00C27BFB" w:rsidP="0015041B">
            <w:pPr>
              <w:widowControl w:val="0"/>
              <w:rPr>
                <w:rFonts w:ascii="DejaVu Sans" w:eastAsia="DejaVu Sans" w:hAnsi="DejaVu Sans" w:cs="DejaVu Sans"/>
                <w:b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пла</w:t>
            </w:r>
            <w:r w:rsidR="00E30640">
              <w:rPr>
                <w:sz w:val="20"/>
                <w:szCs w:val="20"/>
              </w:rPr>
              <w:t>н приватизации, утвержденный пе</w:t>
            </w:r>
            <w:r w:rsidRPr="00E30640">
              <w:rPr>
                <w:sz w:val="20"/>
                <w:szCs w:val="20"/>
              </w:rPr>
              <w:t>речень имущества</w:t>
            </w:r>
          </w:p>
        </w:tc>
        <w:tc>
          <w:tcPr>
            <w:tcW w:w="1768" w:type="dxa"/>
          </w:tcPr>
          <w:p w14:paraId="4DBB5CBD" w14:textId="63525291" w:rsidR="00431091" w:rsidRDefault="001B619C" w:rsidP="005962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имущественных отношений Администрации</w:t>
            </w:r>
            <w:r w:rsidR="00431091">
              <w:rPr>
                <w:sz w:val="20"/>
                <w:szCs w:val="20"/>
              </w:rPr>
              <w:t xml:space="preserve"> МР «Рутульский район»</w:t>
            </w:r>
          </w:p>
          <w:p w14:paraId="6EC10D27" w14:textId="1C5EAB03" w:rsidR="00C27BFB" w:rsidRPr="00E30640" w:rsidRDefault="00E30640" w:rsidP="00431091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Мин имущество Даге</w:t>
            </w:r>
            <w:r w:rsidR="00431091">
              <w:rPr>
                <w:sz w:val="20"/>
                <w:szCs w:val="20"/>
              </w:rPr>
              <w:t>стана</w:t>
            </w:r>
            <w:r w:rsidR="00C27BFB" w:rsidRPr="00E30640">
              <w:rPr>
                <w:sz w:val="20"/>
                <w:szCs w:val="20"/>
              </w:rPr>
              <w:t>(по согласованию</w:t>
            </w:r>
            <w:r w:rsidR="00431091">
              <w:rPr>
                <w:sz w:val="20"/>
                <w:szCs w:val="20"/>
              </w:rPr>
              <w:t>)</w:t>
            </w:r>
          </w:p>
        </w:tc>
      </w:tr>
      <w:tr w:rsidR="0015041B" w:rsidRPr="00E30640" w14:paraId="282660BE" w14:textId="77777777" w:rsidTr="0015041B">
        <w:trPr>
          <w:trHeight w:val="3956"/>
        </w:trPr>
        <w:tc>
          <w:tcPr>
            <w:tcW w:w="492" w:type="dxa"/>
          </w:tcPr>
          <w:p w14:paraId="69023FC8" w14:textId="77777777" w:rsidR="00C27BFB" w:rsidRPr="00E30640" w:rsidRDefault="008F7CAC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4323" w:type="dxa"/>
          </w:tcPr>
          <w:p w14:paraId="1655C47C" w14:textId="0D3B8CEF" w:rsidR="00C27BFB" w:rsidRPr="00E30640" w:rsidRDefault="008F7CAC" w:rsidP="008F7CAC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Приватизация либо перепрофилирование- (изменение целевого назначения муниципального имущества, не соответствующего требованиям отнесения категории им) имущества, предназначенного для реа</w:t>
            </w:r>
            <w:r w:rsidR="001B619C">
              <w:rPr>
                <w:sz w:val="20"/>
                <w:szCs w:val="20"/>
              </w:rPr>
              <w:t>лизации функций полномочий орга</w:t>
            </w:r>
            <w:r w:rsidRPr="00E30640">
              <w:rPr>
                <w:sz w:val="20"/>
                <w:szCs w:val="20"/>
              </w:rPr>
              <w:t>нов местного самоуправления, организация и проведение публичных торгов по реализации указанного имущества перепрофилирование(изменение целевого назначения имущества .</w:t>
            </w:r>
          </w:p>
        </w:tc>
        <w:tc>
          <w:tcPr>
            <w:tcW w:w="1781" w:type="dxa"/>
          </w:tcPr>
          <w:p w14:paraId="735F80F1" w14:textId="77777777" w:rsidR="00C27BFB" w:rsidRPr="00252973" w:rsidRDefault="008F7CAC" w:rsidP="00596232">
            <w:pPr>
              <w:widowControl w:val="0"/>
              <w:rPr>
                <w:rFonts w:eastAsia="DejaVu Sans" w:cstheme="minorHAnsi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eastAsia="DejaVu Sans" w:cstheme="minorHAnsi"/>
                <w:color w:val="000000"/>
                <w:sz w:val="20"/>
                <w:szCs w:val="20"/>
                <w:lang w:eastAsia="ru-RU" w:bidi="ru-RU"/>
              </w:rPr>
              <w:t>Неэффективность неиспользования муниципального имущества</w:t>
            </w:r>
          </w:p>
        </w:tc>
        <w:tc>
          <w:tcPr>
            <w:tcW w:w="3180" w:type="dxa"/>
          </w:tcPr>
          <w:p w14:paraId="31E28AB9" w14:textId="799A7B3F" w:rsidR="00C27BFB" w:rsidRPr="00E30640" w:rsidRDefault="000A0F4F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приватизации л</w:t>
            </w:r>
            <w:r w:rsidR="00E30640">
              <w:rPr>
                <w:sz w:val="20"/>
                <w:szCs w:val="20"/>
              </w:rPr>
              <w:t>ибо пере профилирование (измене</w:t>
            </w:r>
            <w:r w:rsidRPr="00E30640">
              <w:rPr>
                <w:sz w:val="20"/>
                <w:szCs w:val="20"/>
              </w:rPr>
              <w:t>ние целевого назначения имущества) мун</w:t>
            </w:r>
            <w:r w:rsidR="00860A64" w:rsidRPr="00E30640">
              <w:rPr>
                <w:sz w:val="20"/>
                <w:szCs w:val="20"/>
              </w:rPr>
              <w:t>иципального имущества, не соот</w:t>
            </w:r>
            <w:r w:rsidRPr="00E30640">
              <w:rPr>
                <w:sz w:val="20"/>
                <w:szCs w:val="20"/>
              </w:rPr>
              <w:t>ветст</w:t>
            </w:r>
            <w:r w:rsidR="00860A64" w:rsidRPr="00E30640">
              <w:rPr>
                <w:sz w:val="20"/>
                <w:szCs w:val="20"/>
              </w:rPr>
              <w:t>вующего требова</w:t>
            </w:r>
            <w:r w:rsidRPr="00E30640">
              <w:rPr>
                <w:sz w:val="20"/>
                <w:szCs w:val="20"/>
              </w:rPr>
              <w:t>ниям отнесен</w:t>
            </w:r>
            <w:r w:rsidR="00E30640">
              <w:rPr>
                <w:sz w:val="20"/>
                <w:szCs w:val="20"/>
              </w:rPr>
              <w:t>ия катего</w:t>
            </w:r>
            <w:r w:rsidR="00860A64" w:rsidRPr="00E30640">
              <w:rPr>
                <w:sz w:val="20"/>
                <w:szCs w:val="20"/>
              </w:rPr>
              <w:t>рии имущества, предна</w:t>
            </w:r>
            <w:r w:rsidRPr="00E30640">
              <w:rPr>
                <w:sz w:val="20"/>
                <w:szCs w:val="20"/>
              </w:rPr>
              <w:t>значенного для реализации функций полномочий органов местного самоуправлени</w:t>
            </w:r>
            <w:r w:rsidR="00860A64" w:rsidRPr="00E30640"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14:paraId="5AF0A7B5" w14:textId="77777777" w:rsidR="00C27BFB" w:rsidRPr="00252973" w:rsidRDefault="000A0F4F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31 декабря 2025 года</w:t>
            </w:r>
          </w:p>
        </w:tc>
        <w:tc>
          <w:tcPr>
            <w:tcW w:w="2943" w:type="dxa"/>
          </w:tcPr>
          <w:p w14:paraId="5D5EB60D" w14:textId="5C75A027" w:rsidR="00C27BFB" w:rsidRPr="00E30640" w:rsidRDefault="00E30640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отчет об итогах исполнения программы привати</w:t>
            </w:r>
            <w:r w:rsidR="000A0F4F" w:rsidRPr="00E30640">
              <w:rPr>
                <w:sz w:val="20"/>
                <w:szCs w:val="20"/>
              </w:rPr>
              <w:t>зации соответствии Правилами разработки про</w:t>
            </w:r>
            <w:r>
              <w:rPr>
                <w:sz w:val="20"/>
                <w:szCs w:val="20"/>
              </w:rPr>
              <w:t>гнозных планов (программ) приватизации государстве</w:t>
            </w:r>
            <w:r w:rsidR="000A0F4F" w:rsidRPr="00E30640">
              <w:rPr>
                <w:sz w:val="20"/>
                <w:szCs w:val="20"/>
              </w:rPr>
              <w:t>нного мун</w:t>
            </w:r>
            <w:r>
              <w:rPr>
                <w:sz w:val="20"/>
                <w:szCs w:val="20"/>
              </w:rPr>
              <w:t>иципального имущества, утвержде</w:t>
            </w:r>
            <w:r w:rsidR="000A0F4F" w:rsidRPr="00E30640">
              <w:rPr>
                <w:sz w:val="20"/>
                <w:szCs w:val="20"/>
              </w:rPr>
              <w:t>нными пост</w:t>
            </w:r>
            <w:r>
              <w:rPr>
                <w:sz w:val="20"/>
                <w:szCs w:val="20"/>
              </w:rPr>
              <w:t>ановлением Правительства Россий</w:t>
            </w:r>
            <w:r w:rsidR="000A0F4F" w:rsidRPr="00E30640">
              <w:rPr>
                <w:sz w:val="20"/>
                <w:szCs w:val="20"/>
              </w:rPr>
              <w:t>ской Федерации от 26 декаб</w:t>
            </w:r>
            <w:r>
              <w:rPr>
                <w:sz w:val="20"/>
                <w:szCs w:val="20"/>
              </w:rPr>
              <w:t>ря 2005 г. 806, отчет перепрофи</w:t>
            </w:r>
            <w:r w:rsidR="000A0F4F" w:rsidRPr="00E30640">
              <w:rPr>
                <w:sz w:val="20"/>
                <w:szCs w:val="20"/>
              </w:rPr>
              <w:t>лировании (изменении целевого назначения имущества)</w:t>
            </w:r>
          </w:p>
        </w:tc>
        <w:tc>
          <w:tcPr>
            <w:tcW w:w="1768" w:type="dxa"/>
          </w:tcPr>
          <w:p w14:paraId="018B46D3" w14:textId="2D885D1C" w:rsidR="00431091" w:rsidRDefault="001B619C" w:rsidP="004310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имущественных отношений </w:t>
            </w:r>
            <w:r w:rsidR="00431091">
              <w:rPr>
                <w:sz w:val="20"/>
                <w:szCs w:val="20"/>
              </w:rPr>
              <w:t>Администрация МР «Рутульский район»</w:t>
            </w:r>
          </w:p>
          <w:p w14:paraId="157AEEC3" w14:textId="3FDD21CE" w:rsidR="00C27BFB" w:rsidRPr="00E30640" w:rsidRDefault="00431091" w:rsidP="00431091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30640">
              <w:rPr>
                <w:sz w:val="20"/>
                <w:szCs w:val="20"/>
              </w:rPr>
              <w:t>Минимущество</w:t>
            </w:r>
            <w:proofErr w:type="spellEnd"/>
            <w:r w:rsidR="00E30640">
              <w:rPr>
                <w:sz w:val="20"/>
                <w:szCs w:val="20"/>
              </w:rPr>
              <w:t xml:space="preserve"> Даге</w:t>
            </w:r>
            <w:r w:rsidR="000A0F4F" w:rsidRPr="00E30640">
              <w:rPr>
                <w:sz w:val="20"/>
                <w:szCs w:val="20"/>
              </w:rPr>
              <w:t>стана (по согласованию)</w:t>
            </w:r>
          </w:p>
        </w:tc>
      </w:tr>
      <w:tr w:rsidR="009F78B8" w:rsidRPr="00E30640" w14:paraId="2B3CDAED" w14:textId="77777777" w:rsidTr="00E30640">
        <w:trPr>
          <w:trHeight w:val="300"/>
        </w:trPr>
        <w:tc>
          <w:tcPr>
            <w:tcW w:w="492" w:type="dxa"/>
          </w:tcPr>
          <w:p w14:paraId="635A31D0" w14:textId="77777777" w:rsidR="009F78B8" w:rsidRPr="00E30640" w:rsidRDefault="009F78B8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987" w:type="dxa"/>
            <w:gridSpan w:val="6"/>
          </w:tcPr>
          <w:p w14:paraId="1635DBC5" w14:textId="65E1DCA9" w:rsidR="009F78B8" w:rsidRPr="001B619C" w:rsidRDefault="001B619C" w:rsidP="0015041B">
            <w:pPr>
              <w:widowControl w:val="0"/>
              <w:rPr>
                <w:rFonts w:ascii="DejaVu Sans" w:eastAsia="DejaVu Sans" w:hAnsi="DejaVu Sans" w:cs="DejaVu Sans"/>
                <w:b/>
                <w:color w:val="000000"/>
                <w:sz w:val="20"/>
                <w:szCs w:val="20"/>
                <w:lang w:eastAsia="ru-RU" w:bidi="ru-RU"/>
              </w:rPr>
            </w:pPr>
            <w:r w:rsidRPr="001B619C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9F78B8" w:rsidRPr="001B619C">
              <w:rPr>
                <w:b/>
                <w:sz w:val="20"/>
                <w:szCs w:val="20"/>
              </w:rPr>
              <w:t>Информационные технологии(при наличии унитарных предприятий)</w:t>
            </w:r>
          </w:p>
        </w:tc>
      </w:tr>
      <w:tr w:rsidR="0015041B" w:rsidRPr="00E30640" w14:paraId="3492C3FA" w14:textId="77777777" w:rsidTr="0015041B">
        <w:trPr>
          <w:trHeight w:val="2949"/>
        </w:trPr>
        <w:tc>
          <w:tcPr>
            <w:tcW w:w="492" w:type="dxa"/>
          </w:tcPr>
          <w:p w14:paraId="58A77F14" w14:textId="77777777" w:rsidR="00C27BFB" w:rsidRPr="00E30640" w:rsidRDefault="009F78B8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323" w:type="dxa"/>
          </w:tcPr>
          <w:p w14:paraId="2CC2F8F6" w14:textId="77777777" w:rsidR="009F78B8" w:rsidRPr="00E30640" w:rsidRDefault="009F78B8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Включение унитарных предприятий план-график по реорганизации/ликвидации унитарных предприятий;</w:t>
            </w:r>
          </w:p>
          <w:p w14:paraId="4ED5AEE9" w14:textId="77777777" w:rsidR="009F78B8" w:rsidRPr="00E30640" w:rsidRDefault="009F78B8" w:rsidP="00596232">
            <w:pPr>
              <w:widowControl w:val="0"/>
              <w:rPr>
                <w:sz w:val="20"/>
                <w:szCs w:val="20"/>
              </w:rPr>
            </w:pPr>
          </w:p>
          <w:p w14:paraId="76A40DAA" w14:textId="77777777" w:rsidR="00C27BFB" w:rsidRPr="00E30640" w:rsidRDefault="009F78B8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 xml:space="preserve"> проведение анализа деятельности предприятий, инвентаризация имущества, определение затрат на реорганизацию/ликвидацию, включение предприятий программу приватизации</w:t>
            </w:r>
          </w:p>
        </w:tc>
        <w:tc>
          <w:tcPr>
            <w:tcW w:w="1781" w:type="dxa"/>
          </w:tcPr>
          <w:p w14:paraId="0EAD179D" w14:textId="77777777" w:rsidR="00C27BFB" w:rsidRPr="00E30640" w:rsidRDefault="009F78B8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неэффективность деятельности унитарных предприятий, ограничение конкуренции</w:t>
            </w:r>
          </w:p>
        </w:tc>
        <w:tc>
          <w:tcPr>
            <w:tcW w:w="3180" w:type="dxa"/>
          </w:tcPr>
          <w:p w14:paraId="216FA865" w14:textId="5F06B1BE" w:rsidR="00C27BFB" w:rsidRPr="00E30640" w:rsidRDefault="00E30640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реорганизация/ликвидация унитарных предприя</w:t>
            </w:r>
            <w:r w:rsidR="009F78B8" w:rsidRPr="00E30640">
              <w:rPr>
                <w:sz w:val="20"/>
                <w:szCs w:val="20"/>
              </w:rPr>
              <w:t xml:space="preserve">тий; отсутствие </w:t>
            </w:r>
            <w:r>
              <w:rPr>
                <w:sz w:val="20"/>
                <w:szCs w:val="20"/>
              </w:rPr>
              <w:t>на рынках услуг сфере информаци</w:t>
            </w:r>
            <w:r w:rsidR="009F78B8" w:rsidRPr="00E30640">
              <w:rPr>
                <w:sz w:val="20"/>
                <w:szCs w:val="20"/>
              </w:rPr>
              <w:t>онных технологий, том числе на рынках программного обеспечения, программно-аппаратных комплексов (разработка, поддержка, развитие, внедрение, предоставление доступа, об</w:t>
            </w:r>
            <w:r>
              <w:rPr>
                <w:sz w:val="20"/>
                <w:szCs w:val="20"/>
              </w:rPr>
              <w:t>еспечение функционирования) уни</w:t>
            </w:r>
            <w:r w:rsidR="009F78B8" w:rsidRPr="00E30640">
              <w:rPr>
                <w:sz w:val="20"/>
                <w:szCs w:val="20"/>
              </w:rPr>
              <w:t>тарных предприятий, за исключением случаев, предусмотренных федеральными законами</w:t>
            </w:r>
          </w:p>
        </w:tc>
        <w:tc>
          <w:tcPr>
            <w:tcW w:w="992" w:type="dxa"/>
          </w:tcPr>
          <w:p w14:paraId="539BF3AC" w14:textId="77777777" w:rsidR="00C27BFB" w:rsidRPr="00252973" w:rsidRDefault="009F78B8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31 декабря 2025 года</w:t>
            </w:r>
          </w:p>
        </w:tc>
        <w:tc>
          <w:tcPr>
            <w:tcW w:w="2943" w:type="dxa"/>
          </w:tcPr>
          <w:p w14:paraId="20DFE42E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 xml:space="preserve">план-график </w:t>
            </w:r>
          </w:p>
          <w:p w14:paraId="48417241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</w:p>
          <w:p w14:paraId="11C914A3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</w:p>
          <w:p w14:paraId="6A296FB4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</w:p>
          <w:p w14:paraId="52AF38F6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</w:p>
          <w:p w14:paraId="272916C7" w14:textId="77777777" w:rsidR="009F78B8" w:rsidRPr="00E30640" w:rsidRDefault="009F78B8" w:rsidP="0015041B">
            <w:pPr>
              <w:widowControl w:val="0"/>
              <w:rPr>
                <w:sz w:val="20"/>
                <w:szCs w:val="20"/>
              </w:rPr>
            </w:pPr>
          </w:p>
          <w:p w14:paraId="6E5B88DD" w14:textId="77777777" w:rsidR="00C27BFB" w:rsidRPr="00E30640" w:rsidRDefault="009F78B8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программа приватизации</w:t>
            </w:r>
          </w:p>
        </w:tc>
        <w:tc>
          <w:tcPr>
            <w:tcW w:w="1768" w:type="dxa"/>
          </w:tcPr>
          <w:p w14:paraId="13378978" w14:textId="77777777" w:rsidR="00C27BFB" w:rsidRDefault="00E30640" w:rsidP="009F78B8">
            <w:pPr>
              <w:widowControl w:val="0"/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Минимущество</w:t>
            </w:r>
            <w:proofErr w:type="spellEnd"/>
            <w:r>
              <w:rPr>
                <w:sz w:val="20"/>
                <w:szCs w:val="20"/>
              </w:rPr>
              <w:t xml:space="preserve"> Даге</w:t>
            </w:r>
            <w:r w:rsidR="00431091">
              <w:rPr>
                <w:sz w:val="20"/>
                <w:szCs w:val="20"/>
              </w:rPr>
              <w:t>стана</w:t>
            </w:r>
            <w:r w:rsidR="009F78B8" w:rsidRPr="00E30640">
              <w:rPr>
                <w:sz w:val="20"/>
                <w:szCs w:val="20"/>
              </w:rPr>
              <w:t xml:space="preserve"> (по согласованию</w:t>
            </w:r>
          </w:p>
          <w:p w14:paraId="54A1702C" w14:textId="6368D89B" w:rsidR="00431091" w:rsidRDefault="001B619C" w:rsidP="004310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имущественных отношений </w:t>
            </w:r>
            <w:r w:rsidR="00431091">
              <w:rPr>
                <w:sz w:val="20"/>
                <w:szCs w:val="20"/>
              </w:rPr>
              <w:t>Администрация МР «Рутульский район»</w:t>
            </w:r>
          </w:p>
          <w:p w14:paraId="7FA69443" w14:textId="6A6DD955" w:rsidR="00431091" w:rsidRPr="00431091" w:rsidRDefault="00431091" w:rsidP="009F78B8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15041B" w:rsidRPr="00E30640" w14:paraId="7B4549AB" w14:textId="77777777" w:rsidTr="001B619C">
        <w:trPr>
          <w:trHeight w:val="1241"/>
        </w:trPr>
        <w:tc>
          <w:tcPr>
            <w:tcW w:w="492" w:type="dxa"/>
          </w:tcPr>
          <w:p w14:paraId="7D752E8D" w14:textId="77777777" w:rsidR="00C27BFB" w:rsidRPr="00E30640" w:rsidRDefault="007805DA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23" w:type="dxa"/>
          </w:tcPr>
          <w:p w14:paraId="1387C42C" w14:textId="1877F06A" w:rsidR="00C27BFB" w:rsidRPr="00E30640" w:rsidRDefault="00E30640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Ведение открытого реестра </w:t>
            </w: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унитарных</w:t>
            </w:r>
            <w:r w:rsidR="007805DA"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предприятий и хозяйственных обществ с долей участия РД более 50% с включением информации об основных показателях их экономической (финансовой) деятельности и его актуализация</w:t>
            </w:r>
          </w:p>
        </w:tc>
        <w:tc>
          <w:tcPr>
            <w:tcW w:w="1781" w:type="dxa"/>
          </w:tcPr>
          <w:p w14:paraId="5A7D83A8" w14:textId="12789BFE" w:rsidR="00C27BFB" w:rsidRPr="00252973" w:rsidRDefault="007805DA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Недостаточная степень вовлеченности государственного имущества в </w:t>
            </w:r>
            <w:r w:rsidR="00E30640"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хозяйственный</w:t>
            </w:r>
            <w:r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оборот</w:t>
            </w:r>
          </w:p>
        </w:tc>
        <w:tc>
          <w:tcPr>
            <w:tcW w:w="3180" w:type="dxa"/>
          </w:tcPr>
          <w:p w14:paraId="1C309C4D" w14:textId="77777777" w:rsidR="00C27BFB" w:rsidRPr="00E30640" w:rsidRDefault="007805DA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Обеспечение открытости данных</w:t>
            </w:r>
          </w:p>
        </w:tc>
        <w:tc>
          <w:tcPr>
            <w:tcW w:w="992" w:type="dxa"/>
          </w:tcPr>
          <w:p w14:paraId="0FE8E867" w14:textId="77777777" w:rsidR="00C27BFB" w:rsidRPr="00E30640" w:rsidRDefault="007805DA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До 1 января 2023 года</w:t>
            </w:r>
          </w:p>
        </w:tc>
        <w:tc>
          <w:tcPr>
            <w:tcW w:w="2943" w:type="dxa"/>
          </w:tcPr>
          <w:p w14:paraId="75287442" w14:textId="77777777" w:rsidR="00C27BFB" w:rsidRPr="00E30640" w:rsidRDefault="007805DA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реестр предприятий; информация Минэкономразвития РД</w:t>
            </w:r>
          </w:p>
        </w:tc>
        <w:tc>
          <w:tcPr>
            <w:tcW w:w="1768" w:type="dxa"/>
          </w:tcPr>
          <w:p w14:paraId="3BB84015" w14:textId="54525562" w:rsidR="007805DA" w:rsidRDefault="001B7E44" w:rsidP="00431091">
            <w:pPr>
              <w:widowControl w:val="0"/>
              <w:spacing w:before="240"/>
              <w:rPr>
                <w:sz w:val="20"/>
                <w:szCs w:val="20"/>
              </w:rPr>
            </w:pPr>
            <w:proofErr w:type="spellStart"/>
            <w:r w:rsidRPr="00E30640">
              <w:rPr>
                <w:sz w:val="20"/>
                <w:szCs w:val="20"/>
              </w:rPr>
              <w:t>Минимущество</w:t>
            </w:r>
            <w:proofErr w:type="spellEnd"/>
            <w:r w:rsidRPr="00E30640">
              <w:rPr>
                <w:sz w:val="20"/>
                <w:szCs w:val="20"/>
              </w:rPr>
              <w:t xml:space="preserve"> Даге</w:t>
            </w:r>
            <w:r w:rsidR="00431091">
              <w:rPr>
                <w:sz w:val="20"/>
                <w:szCs w:val="20"/>
              </w:rPr>
              <w:t>стана (по согласованию)</w:t>
            </w:r>
          </w:p>
          <w:p w14:paraId="724A8930" w14:textId="484A9F8E" w:rsidR="00431091" w:rsidRDefault="001B619C" w:rsidP="004310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имущественных </w:t>
            </w:r>
            <w:r>
              <w:rPr>
                <w:sz w:val="20"/>
                <w:szCs w:val="20"/>
              </w:rPr>
              <w:lastRenderedPageBreak/>
              <w:t xml:space="preserve">отношений </w:t>
            </w:r>
            <w:r w:rsidR="00431091">
              <w:rPr>
                <w:sz w:val="20"/>
                <w:szCs w:val="20"/>
              </w:rPr>
              <w:t>Администрация МР «Рутульский район»</w:t>
            </w:r>
          </w:p>
          <w:p w14:paraId="75A266B1" w14:textId="77777777" w:rsidR="00431091" w:rsidRPr="00431091" w:rsidRDefault="00431091" w:rsidP="00431091">
            <w:pPr>
              <w:widowControl w:val="0"/>
              <w:spacing w:before="240"/>
              <w:rPr>
                <w:sz w:val="20"/>
                <w:szCs w:val="20"/>
              </w:rPr>
            </w:pPr>
          </w:p>
          <w:p w14:paraId="267F434B" w14:textId="77777777" w:rsidR="00C27BFB" w:rsidRPr="00E30640" w:rsidRDefault="00C27BFB" w:rsidP="007805DA">
            <w:pPr>
              <w:rPr>
                <w:rFonts w:ascii="DejaVu Sans" w:eastAsia="DejaVu Sans" w:hAnsi="DejaVu Sans" w:cs="DejaVu Sans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6D93F8C4" w14:textId="77777777" w:rsidTr="0015041B">
        <w:trPr>
          <w:trHeight w:val="1245"/>
        </w:trPr>
        <w:tc>
          <w:tcPr>
            <w:tcW w:w="492" w:type="dxa"/>
          </w:tcPr>
          <w:p w14:paraId="2C281285" w14:textId="77777777" w:rsidR="00C27BFB" w:rsidRPr="00E30640" w:rsidRDefault="007805DA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11</w:t>
            </w:r>
          </w:p>
        </w:tc>
        <w:tc>
          <w:tcPr>
            <w:tcW w:w="4323" w:type="dxa"/>
          </w:tcPr>
          <w:p w14:paraId="185B334A" w14:textId="77777777" w:rsidR="00C27BFB" w:rsidRPr="00E30640" w:rsidRDefault="001B7E4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Обеспечение приватизации государственных унитарных предприятий, осуществляющих деятельность на товарных рынках с развитой конкуренцией</w:t>
            </w:r>
          </w:p>
        </w:tc>
        <w:tc>
          <w:tcPr>
            <w:tcW w:w="1781" w:type="dxa"/>
          </w:tcPr>
          <w:p w14:paraId="7DCB4F7B" w14:textId="77777777" w:rsidR="00C27BFB" w:rsidRPr="00252973" w:rsidRDefault="001B7E44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2973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Недостаточная степень вовлеченности госимущества в хозяйственный оборот</w:t>
            </w:r>
          </w:p>
        </w:tc>
        <w:tc>
          <w:tcPr>
            <w:tcW w:w="3180" w:type="dxa"/>
          </w:tcPr>
          <w:p w14:paraId="7BB52B53" w14:textId="380516B9" w:rsidR="00C27BFB" w:rsidRPr="00E30640" w:rsidRDefault="001B7E4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Эффективное использование гос.</w:t>
            </w:r>
            <w:r w:rsid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имущества</w:t>
            </w:r>
          </w:p>
        </w:tc>
        <w:tc>
          <w:tcPr>
            <w:tcW w:w="992" w:type="dxa"/>
          </w:tcPr>
          <w:p w14:paraId="704C02EA" w14:textId="77777777" w:rsidR="00C27BFB" w:rsidRPr="00E30640" w:rsidRDefault="001B7E4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До 1 января </w:t>
            </w:r>
          </w:p>
          <w:p w14:paraId="2F18BD46" w14:textId="77777777" w:rsidR="001B7E44" w:rsidRPr="00E30640" w:rsidRDefault="001B7E4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2025года</w:t>
            </w:r>
          </w:p>
        </w:tc>
        <w:tc>
          <w:tcPr>
            <w:tcW w:w="2943" w:type="dxa"/>
          </w:tcPr>
          <w:p w14:paraId="6322006B" w14:textId="77777777" w:rsidR="00C27BFB" w:rsidRPr="00E30640" w:rsidRDefault="001B7E4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Распоряжение </w:t>
            </w:r>
            <w:proofErr w:type="spellStart"/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Минимущества</w:t>
            </w:r>
            <w:proofErr w:type="spellEnd"/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РД</w:t>
            </w:r>
          </w:p>
        </w:tc>
        <w:tc>
          <w:tcPr>
            <w:tcW w:w="1768" w:type="dxa"/>
          </w:tcPr>
          <w:p w14:paraId="2EC187D5" w14:textId="4552D0E7" w:rsidR="001B7E44" w:rsidRDefault="00431091" w:rsidP="00431091">
            <w:pPr>
              <w:widowControl w:val="0"/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Минимущество</w:t>
            </w:r>
            <w:proofErr w:type="spellEnd"/>
            <w:r>
              <w:rPr>
                <w:sz w:val="20"/>
                <w:szCs w:val="20"/>
              </w:rPr>
              <w:t xml:space="preserve"> Дагестана</w:t>
            </w:r>
            <w:r w:rsidR="001B7E44" w:rsidRPr="00E30640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14:paraId="48B2EEA2" w14:textId="77777777" w:rsidR="00431091" w:rsidRDefault="00431091" w:rsidP="004310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«Рутульский район»</w:t>
            </w:r>
          </w:p>
          <w:p w14:paraId="1525080F" w14:textId="77777777" w:rsidR="00431091" w:rsidRPr="00431091" w:rsidRDefault="00431091" w:rsidP="00431091">
            <w:pPr>
              <w:widowControl w:val="0"/>
              <w:spacing w:before="240"/>
              <w:rPr>
                <w:sz w:val="20"/>
                <w:szCs w:val="20"/>
              </w:rPr>
            </w:pPr>
          </w:p>
          <w:p w14:paraId="5184C55A" w14:textId="77777777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1C826F16" w14:textId="77777777" w:rsidTr="0015041B">
        <w:trPr>
          <w:trHeight w:val="1068"/>
        </w:trPr>
        <w:tc>
          <w:tcPr>
            <w:tcW w:w="492" w:type="dxa"/>
          </w:tcPr>
          <w:p w14:paraId="60BB66B2" w14:textId="77777777" w:rsidR="00C27BFB" w:rsidRPr="00E30640" w:rsidRDefault="001B7E44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323" w:type="dxa"/>
          </w:tcPr>
          <w:p w14:paraId="105F9F4C" w14:textId="397E442D" w:rsidR="00C27BFB" w:rsidRPr="00E30640" w:rsidRDefault="001B7E44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Мониторинг деятельности субъектов естественных монополий на территории РД</w:t>
            </w:r>
          </w:p>
        </w:tc>
        <w:tc>
          <w:tcPr>
            <w:tcW w:w="1781" w:type="dxa"/>
          </w:tcPr>
          <w:p w14:paraId="3F6ED7EA" w14:textId="70D86A98" w:rsidR="00C27BFB" w:rsidRPr="00E30640" w:rsidRDefault="001B7E44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наличие административных барьеро</w:t>
            </w:r>
            <w:r w:rsidR="00E30640">
              <w:rPr>
                <w:sz w:val="20"/>
                <w:szCs w:val="20"/>
              </w:rPr>
              <w:t>в</w:t>
            </w:r>
          </w:p>
        </w:tc>
        <w:tc>
          <w:tcPr>
            <w:tcW w:w="3180" w:type="dxa"/>
          </w:tcPr>
          <w:p w14:paraId="1A5DF36B" w14:textId="241A1753" w:rsidR="00C27BFB" w:rsidRPr="00E30640" w:rsidRDefault="00E30640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сбор данных состояния конкуренции деятельно</w:t>
            </w:r>
            <w:r w:rsidR="001B7E44" w:rsidRPr="00E30640">
              <w:rPr>
                <w:sz w:val="20"/>
                <w:szCs w:val="20"/>
              </w:rPr>
              <w:t>сти субъектов естеств</w:t>
            </w:r>
            <w:r>
              <w:rPr>
                <w:sz w:val="20"/>
                <w:szCs w:val="20"/>
              </w:rPr>
              <w:t>ен</w:t>
            </w:r>
            <w:r w:rsidR="001B7E44" w:rsidRPr="00E30640">
              <w:rPr>
                <w:sz w:val="20"/>
                <w:szCs w:val="20"/>
              </w:rPr>
              <w:t>ных монополи</w:t>
            </w:r>
          </w:p>
        </w:tc>
        <w:tc>
          <w:tcPr>
            <w:tcW w:w="992" w:type="dxa"/>
          </w:tcPr>
          <w:p w14:paraId="21500752" w14:textId="3C0A4F09" w:rsidR="00C27BFB" w:rsidRPr="00E30640" w:rsidRDefault="001B7E44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ежегодно, до 31 декабря</w:t>
            </w:r>
          </w:p>
        </w:tc>
        <w:tc>
          <w:tcPr>
            <w:tcW w:w="2943" w:type="dxa"/>
          </w:tcPr>
          <w:p w14:paraId="16359827" w14:textId="77777777" w:rsidR="00C27BFB" w:rsidRPr="00E30640" w:rsidRDefault="001B7E4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768" w:type="dxa"/>
          </w:tcPr>
          <w:p w14:paraId="6752C067" w14:textId="2E38B884" w:rsidR="00431091" w:rsidRDefault="001B7E44" w:rsidP="00431091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 xml:space="preserve">Минэнерго РД, </w:t>
            </w:r>
            <w:r w:rsidR="00431091">
              <w:rPr>
                <w:sz w:val="20"/>
                <w:szCs w:val="20"/>
              </w:rPr>
              <w:t xml:space="preserve">Минстрой РД </w:t>
            </w:r>
            <w:r w:rsidRPr="00E30640">
              <w:rPr>
                <w:sz w:val="20"/>
                <w:szCs w:val="20"/>
              </w:rPr>
              <w:t>(по согласованию)</w:t>
            </w:r>
            <w:r w:rsidR="00431091">
              <w:rPr>
                <w:sz w:val="20"/>
                <w:szCs w:val="20"/>
              </w:rPr>
              <w:t xml:space="preserve"> </w:t>
            </w:r>
            <w:r w:rsidR="001B619C">
              <w:rPr>
                <w:sz w:val="20"/>
                <w:szCs w:val="20"/>
              </w:rPr>
              <w:t xml:space="preserve">Отдел </w:t>
            </w:r>
            <w:proofErr w:type="spellStart"/>
            <w:r w:rsidR="001B619C">
              <w:rPr>
                <w:sz w:val="20"/>
                <w:szCs w:val="20"/>
              </w:rPr>
              <w:t>ОСАи</w:t>
            </w:r>
            <w:proofErr w:type="spellEnd"/>
            <w:r w:rsidR="001B619C">
              <w:rPr>
                <w:sz w:val="20"/>
                <w:szCs w:val="20"/>
              </w:rPr>
              <w:t xml:space="preserve"> ЖКХ Администрации</w:t>
            </w:r>
            <w:r w:rsidR="00431091">
              <w:rPr>
                <w:sz w:val="20"/>
                <w:szCs w:val="20"/>
              </w:rPr>
              <w:t xml:space="preserve"> МР «Рутульский район»</w:t>
            </w:r>
          </w:p>
          <w:p w14:paraId="211ACEF6" w14:textId="22A321C1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1EECA979" w14:textId="77777777" w:rsidTr="0015041B">
        <w:trPr>
          <w:trHeight w:val="3761"/>
        </w:trPr>
        <w:tc>
          <w:tcPr>
            <w:tcW w:w="492" w:type="dxa"/>
          </w:tcPr>
          <w:p w14:paraId="52EC6FEA" w14:textId="77777777" w:rsidR="00C27BFB" w:rsidRPr="00E30640" w:rsidRDefault="00F85F50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21</w:t>
            </w:r>
          </w:p>
        </w:tc>
        <w:tc>
          <w:tcPr>
            <w:tcW w:w="4323" w:type="dxa"/>
          </w:tcPr>
          <w:p w14:paraId="13E47420" w14:textId="6E953D5C" w:rsidR="00C27BFB" w:rsidRPr="00E30640" w:rsidRDefault="00F85F50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Разме</w:t>
            </w:r>
            <w:r w:rsidR="00E30640">
              <w:rPr>
                <w:sz w:val="20"/>
                <w:szCs w:val="20"/>
              </w:rPr>
              <w:t>щение информации критериях кон</w:t>
            </w:r>
            <w:r w:rsidRPr="00E30640">
              <w:rPr>
                <w:sz w:val="20"/>
                <w:szCs w:val="20"/>
              </w:rPr>
              <w:t>курсного отбора перевозч</w:t>
            </w:r>
            <w:r w:rsidR="007A4BB9" w:rsidRPr="00E30640">
              <w:rPr>
                <w:sz w:val="20"/>
                <w:szCs w:val="20"/>
              </w:rPr>
              <w:t xml:space="preserve">иков открытом  </w:t>
            </w:r>
            <w:r w:rsidRPr="00E30640">
              <w:rPr>
                <w:sz w:val="20"/>
                <w:szCs w:val="20"/>
              </w:rPr>
              <w:t xml:space="preserve">доступе </w:t>
            </w:r>
            <w:r w:rsidR="007A4BB9" w:rsidRPr="00E30640">
              <w:rPr>
                <w:sz w:val="20"/>
                <w:szCs w:val="20"/>
              </w:rPr>
              <w:t xml:space="preserve">в </w:t>
            </w:r>
            <w:r w:rsidRPr="00E30640">
              <w:rPr>
                <w:sz w:val="20"/>
                <w:szCs w:val="20"/>
              </w:rPr>
              <w:t>ин</w:t>
            </w:r>
            <w:r w:rsidR="007A4BB9" w:rsidRPr="00E30640">
              <w:rPr>
                <w:sz w:val="20"/>
                <w:szCs w:val="20"/>
              </w:rPr>
              <w:t>формационно-телекоммуни</w:t>
            </w:r>
            <w:r w:rsidR="0015041B">
              <w:rPr>
                <w:sz w:val="20"/>
                <w:szCs w:val="20"/>
              </w:rPr>
              <w:t>ка</w:t>
            </w:r>
            <w:r w:rsidRPr="00E30640">
              <w:rPr>
                <w:sz w:val="20"/>
                <w:szCs w:val="20"/>
              </w:rPr>
              <w:t xml:space="preserve">ционной </w:t>
            </w:r>
            <w:r w:rsidR="007A4BB9" w:rsidRPr="00E30640">
              <w:rPr>
                <w:sz w:val="20"/>
                <w:szCs w:val="20"/>
              </w:rPr>
              <w:t xml:space="preserve">в </w:t>
            </w:r>
            <w:r w:rsidRPr="00E30640">
              <w:rPr>
                <w:sz w:val="20"/>
                <w:szCs w:val="20"/>
              </w:rPr>
              <w:t xml:space="preserve">сети «Интернет» </w:t>
            </w:r>
            <w:r w:rsidR="007A4BB9" w:rsidRPr="00E30640">
              <w:rPr>
                <w:sz w:val="20"/>
                <w:szCs w:val="20"/>
              </w:rPr>
              <w:t>с целью обеспе</w:t>
            </w:r>
            <w:r w:rsidRPr="00E30640">
              <w:rPr>
                <w:sz w:val="20"/>
                <w:szCs w:val="20"/>
              </w:rPr>
              <w:t>чения максимальной досту</w:t>
            </w:r>
            <w:r w:rsidR="007A4BB9" w:rsidRPr="00E30640">
              <w:rPr>
                <w:sz w:val="20"/>
                <w:szCs w:val="20"/>
              </w:rPr>
              <w:t>пности инфор</w:t>
            </w:r>
            <w:r w:rsidRPr="00E30640">
              <w:rPr>
                <w:sz w:val="20"/>
                <w:szCs w:val="20"/>
              </w:rPr>
              <w:t>мации прозрачности условий работы на рынке пассажирских перевозок наземным транспортом; формирование сети регулярных маршрутов учет</w:t>
            </w:r>
            <w:r w:rsidR="007A4BB9" w:rsidRPr="00E30640">
              <w:rPr>
                <w:sz w:val="20"/>
                <w:szCs w:val="20"/>
              </w:rPr>
              <w:t>ом предложений, изложенных обра</w:t>
            </w:r>
            <w:r w:rsidRPr="00E30640">
              <w:rPr>
                <w:sz w:val="20"/>
                <w:szCs w:val="20"/>
              </w:rPr>
              <w:t>щениях негосударственных перевозчиков; мони</w:t>
            </w:r>
            <w:r w:rsidR="007A4BB9" w:rsidRPr="00E30640">
              <w:rPr>
                <w:sz w:val="20"/>
                <w:szCs w:val="20"/>
              </w:rPr>
              <w:t>торинг пассажиропотока потребно</w:t>
            </w:r>
            <w:r w:rsidRPr="00E30640">
              <w:rPr>
                <w:sz w:val="20"/>
                <w:szCs w:val="20"/>
              </w:rPr>
              <w:t>стей региона корректировке существую щей маршрутной сети создание новых маршрутов; разраб</w:t>
            </w:r>
            <w:r w:rsidR="00E30640">
              <w:rPr>
                <w:sz w:val="20"/>
                <w:szCs w:val="20"/>
              </w:rPr>
              <w:t>отка до1^ента планирования регу</w:t>
            </w:r>
            <w:r w:rsidRPr="00E30640">
              <w:rPr>
                <w:sz w:val="20"/>
                <w:szCs w:val="20"/>
              </w:rPr>
              <w:t>лярных перевозок учетом полученной ин формации по результатам монитор</w:t>
            </w:r>
          </w:p>
        </w:tc>
        <w:tc>
          <w:tcPr>
            <w:tcW w:w="1781" w:type="dxa"/>
          </w:tcPr>
          <w:p w14:paraId="3E47B7A2" w14:textId="77777777" w:rsidR="00C27BFB" w:rsidRPr="001B619C" w:rsidRDefault="007A4BB9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619C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Высокие административные барьеры доступа на товарный рынок</w:t>
            </w:r>
          </w:p>
        </w:tc>
        <w:tc>
          <w:tcPr>
            <w:tcW w:w="3180" w:type="dxa"/>
          </w:tcPr>
          <w:p w14:paraId="605C8AAE" w14:textId="12E0BC4F" w:rsidR="00C27BFB" w:rsidRPr="00E30640" w:rsidRDefault="007A4BB9" w:rsidP="00E30640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 xml:space="preserve">доля услуг (работ) </w:t>
            </w:r>
            <w:r w:rsidR="00E30640">
              <w:rPr>
                <w:sz w:val="20"/>
                <w:szCs w:val="20"/>
              </w:rPr>
              <w:t>по пере возке пассажиров автомо</w:t>
            </w:r>
            <w:r w:rsidRPr="00E30640">
              <w:rPr>
                <w:sz w:val="20"/>
                <w:szCs w:val="20"/>
              </w:rPr>
              <w:t xml:space="preserve">бильным транспортом: по муниципальным марш рутам регулярных перевозок, выполненных организациями частной формы собственности, </w:t>
            </w:r>
            <w:r w:rsidR="00E30640">
              <w:rPr>
                <w:sz w:val="20"/>
                <w:szCs w:val="20"/>
              </w:rPr>
              <w:t>не менее 20 процентов; по межмун</w:t>
            </w:r>
            <w:r w:rsidR="00E30640" w:rsidRPr="00E30640">
              <w:rPr>
                <w:sz w:val="20"/>
                <w:szCs w:val="20"/>
              </w:rPr>
              <w:t>и</w:t>
            </w:r>
            <w:r w:rsidR="00E30640">
              <w:rPr>
                <w:sz w:val="20"/>
                <w:szCs w:val="20"/>
              </w:rPr>
              <w:t>ципа</w:t>
            </w:r>
            <w:r w:rsidR="00E30640" w:rsidRPr="00E30640">
              <w:rPr>
                <w:sz w:val="20"/>
                <w:szCs w:val="20"/>
              </w:rPr>
              <w:t>льным</w:t>
            </w:r>
            <w:r w:rsidRPr="00E30640">
              <w:rPr>
                <w:sz w:val="20"/>
                <w:szCs w:val="20"/>
              </w:rPr>
              <w:t xml:space="preserve"> маршрутам регулярных перевозок, выполненных организациями частной формы собственности, не менее 30 </w:t>
            </w:r>
            <w:r w:rsidR="00E30640" w:rsidRPr="00E30640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14:paraId="59412454" w14:textId="77777777" w:rsidR="00C27BFB" w:rsidRPr="001B619C" w:rsidRDefault="007A4BB9" w:rsidP="00596232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619C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>31 декабря 2025 года</w:t>
            </w:r>
          </w:p>
        </w:tc>
        <w:tc>
          <w:tcPr>
            <w:tcW w:w="2943" w:type="dxa"/>
          </w:tcPr>
          <w:p w14:paraId="331B92AB" w14:textId="23E087DB" w:rsidR="007A4BB9" w:rsidRPr="00E30640" w:rsidRDefault="007A4BB9" w:rsidP="0015041B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до</w:t>
            </w:r>
            <w:r w:rsidR="00E30640">
              <w:rPr>
                <w:sz w:val="20"/>
                <w:szCs w:val="20"/>
              </w:rPr>
              <w:t>рожная карта по содействию разв</w:t>
            </w:r>
            <w:r w:rsidR="00E30640" w:rsidRPr="00E30640">
              <w:rPr>
                <w:sz w:val="20"/>
                <w:szCs w:val="20"/>
              </w:rPr>
              <w:t>итию</w:t>
            </w:r>
            <w:r w:rsidRPr="00E30640">
              <w:rPr>
                <w:sz w:val="20"/>
                <w:szCs w:val="20"/>
              </w:rPr>
              <w:t xml:space="preserve"> конкуренции сфере пассажирских перевозок городских округах; </w:t>
            </w:r>
          </w:p>
          <w:p w14:paraId="43D67007" w14:textId="77777777" w:rsidR="007A4BB9" w:rsidRPr="00E30640" w:rsidRDefault="007A4BB9" w:rsidP="0015041B">
            <w:pPr>
              <w:widowControl w:val="0"/>
              <w:rPr>
                <w:sz w:val="20"/>
                <w:szCs w:val="20"/>
              </w:rPr>
            </w:pPr>
          </w:p>
          <w:p w14:paraId="1494A871" w14:textId="630E9E26" w:rsidR="00C27BFB" w:rsidRPr="00E30640" w:rsidRDefault="0015041B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акт, регламентиру</w:t>
            </w:r>
            <w:r w:rsidR="007A4BB9" w:rsidRPr="00E30640">
              <w:rPr>
                <w:sz w:val="20"/>
                <w:szCs w:val="20"/>
              </w:rPr>
              <w:t>ющий процедуру размещения</w:t>
            </w:r>
            <w:r>
              <w:rPr>
                <w:sz w:val="20"/>
                <w:szCs w:val="20"/>
              </w:rPr>
              <w:t xml:space="preserve"> </w:t>
            </w:r>
            <w:r w:rsidR="007A4BB9" w:rsidRPr="00E30640">
              <w:rPr>
                <w:sz w:val="20"/>
                <w:szCs w:val="20"/>
              </w:rPr>
              <w:t>информации реализации мероприятий</w:t>
            </w:r>
            <w:r>
              <w:rPr>
                <w:sz w:val="20"/>
                <w:szCs w:val="20"/>
              </w:rPr>
              <w:t xml:space="preserve"> Плана мероприятий(«до</w:t>
            </w:r>
            <w:r w:rsidR="007A4BB9" w:rsidRPr="00E30640">
              <w:rPr>
                <w:sz w:val="20"/>
                <w:szCs w:val="20"/>
              </w:rPr>
              <w:t>рожной карты» по содействию</w:t>
            </w:r>
            <w:r>
              <w:rPr>
                <w:sz w:val="20"/>
                <w:szCs w:val="20"/>
              </w:rPr>
              <w:t xml:space="preserve"> </w:t>
            </w:r>
            <w:r w:rsidR="007A4BB9" w:rsidRPr="00E30640">
              <w:rPr>
                <w:sz w:val="20"/>
                <w:szCs w:val="20"/>
              </w:rPr>
              <w:t>развитию конкуренции Республике</w:t>
            </w:r>
            <w:r>
              <w:rPr>
                <w:sz w:val="20"/>
                <w:szCs w:val="20"/>
              </w:rPr>
              <w:t xml:space="preserve"> Даге</w:t>
            </w:r>
            <w:r w:rsidR="007A4BB9" w:rsidRPr="00E30640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н на 2022-2025 годы сфере пасса</w:t>
            </w:r>
            <w:r w:rsidR="007A4BB9" w:rsidRPr="00E30640">
              <w:rPr>
                <w:sz w:val="20"/>
                <w:szCs w:val="20"/>
              </w:rPr>
              <w:t>жирских</w:t>
            </w:r>
            <w:r>
              <w:rPr>
                <w:sz w:val="20"/>
                <w:szCs w:val="20"/>
              </w:rPr>
              <w:t xml:space="preserve"> </w:t>
            </w:r>
            <w:r w:rsidR="007A4BB9" w:rsidRPr="00E30640">
              <w:rPr>
                <w:sz w:val="20"/>
                <w:szCs w:val="20"/>
              </w:rPr>
              <w:t>перевозо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768" w:type="dxa"/>
          </w:tcPr>
          <w:p w14:paraId="3213038C" w14:textId="2613FD99" w:rsidR="00431091" w:rsidRDefault="007A4BB9" w:rsidP="00431091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Минтранс РД, УФАС России по РД (по согла</w:t>
            </w:r>
            <w:r w:rsidR="00431091">
              <w:rPr>
                <w:sz w:val="20"/>
                <w:szCs w:val="20"/>
              </w:rPr>
              <w:t>сованию) Администрация МР «Рутульский район»</w:t>
            </w:r>
          </w:p>
          <w:p w14:paraId="260EC01C" w14:textId="226FB22C" w:rsidR="00C27BFB" w:rsidRPr="00E30640" w:rsidRDefault="007A4BB9" w:rsidP="00431091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 xml:space="preserve">сованию), </w:t>
            </w:r>
          </w:p>
        </w:tc>
      </w:tr>
      <w:tr w:rsidR="007A4BB9" w:rsidRPr="00E30640" w14:paraId="4A3C222F" w14:textId="77777777" w:rsidTr="00E30640">
        <w:trPr>
          <w:trHeight w:val="270"/>
        </w:trPr>
        <w:tc>
          <w:tcPr>
            <w:tcW w:w="492" w:type="dxa"/>
          </w:tcPr>
          <w:p w14:paraId="782E3C61" w14:textId="77777777" w:rsidR="007A4BB9" w:rsidRPr="00E30640" w:rsidRDefault="007A4BB9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987" w:type="dxa"/>
            <w:gridSpan w:val="6"/>
          </w:tcPr>
          <w:p w14:paraId="20CF42A3" w14:textId="10711B6E" w:rsidR="007A4BB9" w:rsidRPr="00E30640" w:rsidRDefault="007A4BB9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</w:t>
            </w:r>
            <w:r w:rsidR="00252973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</w:t>
            </w: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 Ритуальные услуги</w:t>
            </w:r>
          </w:p>
        </w:tc>
      </w:tr>
      <w:tr w:rsidR="0015041B" w:rsidRPr="00E30640" w14:paraId="760257B3" w14:textId="77777777" w:rsidTr="0015041B">
        <w:trPr>
          <w:trHeight w:val="4303"/>
        </w:trPr>
        <w:tc>
          <w:tcPr>
            <w:tcW w:w="492" w:type="dxa"/>
          </w:tcPr>
          <w:p w14:paraId="7FF83D09" w14:textId="77777777" w:rsidR="00C27BFB" w:rsidRPr="00E30640" w:rsidRDefault="007A4BB9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4323" w:type="dxa"/>
          </w:tcPr>
          <w:p w14:paraId="714A8BE9" w14:textId="77777777" w:rsidR="00C27BFB" w:rsidRPr="00E30640" w:rsidRDefault="007A4BB9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Организация инвентаризации кладбищ мест захоронений на них; создание Республике Дагестан по результатам такой инвентаризации ведение реестров кладбищ мест захоронений размещением указанных реестров на региональных порталах государственных муниципальных услуг; доведение до населения информации, том числе использованием СМИ, создании названных ресурсов</w:t>
            </w:r>
          </w:p>
        </w:tc>
        <w:tc>
          <w:tcPr>
            <w:tcW w:w="1781" w:type="dxa"/>
          </w:tcPr>
          <w:p w14:paraId="53E65D68" w14:textId="6B64F995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закрытость непро</w:t>
            </w:r>
            <w:r w:rsidR="007A4BB9" w:rsidRPr="00E30640">
              <w:rPr>
                <w:sz w:val="20"/>
                <w:szCs w:val="20"/>
              </w:rPr>
              <w:t>зрачность п</w:t>
            </w:r>
            <w:r w:rsidRPr="00E30640">
              <w:rPr>
                <w:sz w:val="20"/>
                <w:szCs w:val="20"/>
              </w:rPr>
              <w:t>роцедуры предоставления мест за</w:t>
            </w:r>
            <w:r w:rsidR="007A4BB9" w:rsidRPr="00E30640">
              <w:rPr>
                <w:sz w:val="20"/>
                <w:szCs w:val="20"/>
              </w:rPr>
              <w:t>хоронени</w:t>
            </w:r>
            <w:r w:rsidRPr="00E30640">
              <w:rPr>
                <w:sz w:val="20"/>
                <w:szCs w:val="20"/>
              </w:rPr>
              <w:t>я</w:t>
            </w:r>
          </w:p>
        </w:tc>
        <w:tc>
          <w:tcPr>
            <w:tcW w:w="3180" w:type="dxa"/>
          </w:tcPr>
          <w:p w14:paraId="479A510C" w14:textId="47F9C246" w:rsidR="00C27BFB" w:rsidRPr="00E30640" w:rsidRDefault="007A4BB9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создание размещение на региональны</w:t>
            </w:r>
            <w:r w:rsidR="00E30640">
              <w:rPr>
                <w:sz w:val="20"/>
                <w:szCs w:val="20"/>
              </w:rPr>
              <w:t>х порталах государственных муни</w:t>
            </w:r>
            <w:r w:rsidRPr="00E30640">
              <w:rPr>
                <w:sz w:val="20"/>
                <w:szCs w:val="20"/>
              </w:rPr>
              <w:t>ципальных услуг</w:t>
            </w:r>
            <w:r w:rsidR="0015041B">
              <w:rPr>
                <w:sz w:val="20"/>
                <w:szCs w:val="20"/>
              </w:rPr>
              <w:t xml:space="preserve"> реестров кладбищ мест захороне</w:t>
            </w:r>
            <w:r w:rsidRPr="00E30640">
              <w:rPr>
                <w:sz w:val="20"/>
                <w:szCs w:val="20"/>
              </w:rPr>
              <w:t>ний на них, которые включены сведения существующих кладбища и</w:t>
            </w:r>
          </w:p>
          <w:p w14:paraId="06241347" w14:textId="4430FD9B" w:rsidR="007A4BB9" w:rsidRPr="00E30640" w:rsidRDefault="007A4BB9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местах захоронени</w:t>
            </w:r>
            <w:r w:rsidR="0015041B">
              <w:rPr>
                <w:sz w:val="20"/>
                <w:szCs w:val="20"/>
              </w:rPr>
              <w:t>й на них: отношении 20 проц. об</w:t>
            </w:r>
            <w:r w:rsidRPr="00E30640">
              <w:rPr>
                <w:sz w:val="20"/>
                <w:szCs w:val="20"/>
              </w:rPr>
              <w:t xml:space="preserve">щего количества существующих кладбищ - до 31 декабря 2023 года; отношении 50 проц. общего количества существующих кладбищ - до 31 декабря 2024 года; отношении всех существующих кладбищ - до 31 декабря 2025 года </w:t>
            </w:r>
          </w:p>
        </w:tc>
        <w:tc>
          <w:tcPr>
            <w:tcW w:w="992" w:type="dxa"/>
          </w:tcPr>
          <w:p w14:paraId="31043D12" w14:textId="77777777" w:rsidR="00C27BFB" w:rsidRPr="00E30640" w:rsidRDefault="007A4BB9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31 декабря 2023 года, постоянно</w:t>
            </w:r>
          </w:p>
        </w:tc>
        <w:tc>
          <w:tcPr>
            <w:tcW w:w="2943" w:type="dxa"/>
          </w:tcPr>
          <w:p w14:paraId="0AA7B0D0" w14:textId="77777777" w:rsidR="00C27BFB" w:rsidRPr="00E30640" w:rsidRDefault="007A4BB9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постановление Правительства Республики Дагестан, реестр</w:t>
            </w:r>
          </w:p>
        </w:tc>
        <w:tc>
          <w:tcPr>
            <w:tcW w:w="1768" w:type="dxa"/>
          </w:tcPr>
          <w:p w14:paraId="29B30914" w14:textId="6F68BCB9" w:rsidR="00431091" w:rsidRDefault="00CF3885" w:rsidP="0043109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30640">
              <w:rPr>
                <w:sz w:val="20"/>
                <w:szCs w:val="20"/>
              </w:rPr>
              <w:t>Мин</w:t>
            </w:r>
            <w:r w:rsidR="00431091">
              <w:rPr>
                <w:sz w:val="20"/>
                <w:szCs w:val="20"/>
              </w:rPr>
              <w:t>нацРД</w:t>
            </w:r>
            <w:proofErr w:type="spellEnd"/>
            <w:r w:rsidR="00431091">
              <w:rPr>
                <w:sz w:val="20"/>
                <w:szCs w:val="20"/>
              </w:rPr>
              <w:t xml:space="preserve">, </w:t>
            </w:r>
            <w:proofErr w:type="spellStart"/>
            <w:r w:rsidR="00431091">
              <w:rPr>
                <w:sz w:val="20"/>
                <w:szCs w:val="20"/>
              </w:rPr>
              <w:t>МинэкономразвитияРД</w:t>
            </w:r>
            <w:proofErr w:type="spellEnd"/>
            <w:r w:rsidRPr="00E30640">
              <w:rPr>
                <w:sz w:val="20"/>
                <w:szCs w:val="20"/>
              </w:rPr>
              <w:t xml:space="preserve"> (по согласованию)</w:t>
            </w:r>
            <w:r w:rsidR="00431091">
              <w:rPr>
                <w:sz w:val="20"/>
                <w:szCs w:val="20"/>
              </w:rPr>
              <w:t xml:space="preserve"> </w:t>
            </w:r>
            <w:r w:rsidR="001B619C">
              <w:rPr>
                <w:sz w:val="20"/>
                <w:szCs w:val="20"/>
              </w:rPr>
              <w:t xml:space="preserve">отдел ОСА </w:t>
            </w:r>
            <w:proofErr w:type="spellStart"/>
            <w:r w:rsidR="001B619C">
              <w:rPr>
                <w:sz w:val="20"/>
                <w:szCs w:val="20"/>
              </w:rPr>
              <w:t>иЖКХ</w:t>
            </w:r>
            <w:proofErr w:type="spellEnd"/>
            <w:r w:rsidR="001B619C">
              <w:rPr>
                <w:sz w:val="20"/>
                <w:szCs w:val="20"/>
              </w:rPr>
              <w:t xml:space="preserve"> Администрации</w:t>
            </w:r>
            <w:r w:rsidR="00431091">
              <w:rPr>
                <w:sz w:val="20"/>
                <w:szCs w:val="20"/>
              </w:rPr>
              <w:t xml:space="preserve"> МР «Рутульский район»</w:t>
            </w:r>
          </w:p>
          <w:p w14:paraId="5E36C3CC" w14:textId="4BDE4968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19084D67" w14:textId="77777777" w:rsidTr="0015041B">
        <w:trPr>
          <w:trHeight w:val="2422"/>
        </w:trPr>
        <w:tc>
          <w:tcPr>
            <w:tcW w:w="492" w:type="dxa"/>
          </w:tcPr>
          <w:p w14:paraId="52EB7220" w14:textId="77777777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33</w:t>
            </w:r>
          </w:p>
        </w:tc>
        <w:tc>
          <w:tcPr>
            <w:tcW w:w="4323" w:type="dxa"/>
          </w:tcPr>
          <w:p w14:paraId="2D861875" w14:textId="7B1601DA" w:rsidR="00C27BFB" w:rsidRPr="00E30640" w:rsidRDefault="00CF3885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Принятие нормативного правового акта Респ</w:t>
            </w:r>
            <w:r w:rsidR="0015041B">
              <w:rPr>
                <w:sz w:val="20"/>
                <w:szCs w:val="20"/>
              </w:rPr>
              <w:t>ублики Дагестан, предусматриваю</w:t>
            </w:r>
            <w:r w:rsidRPr="00E30640">
              <w:rPr>
                <w:sz w:val="20"/>
                <w:szCs w:val="20"/>
              </w:rPr>
              <w:t xml:space="preserve"> </w:t>
            </w:r>
            <w:r w:rsidR="0015041B" w:rsidRPr="00E30640">
              <w:rPr>
                <w:sz w:val="20"/>
                <w:szCs w:val="20"/>
              </w:rPr>
              <w:t>предусматривающего</w:t>
            </w:r>
            <w:r w:rsidRPr="00E30640">
              <w:rPr>
                <w:sz w:val="20"/>
                <w:szCs w:val="20"/>
              </w:rPr>
              <w:t xml:space="preserve"> соз</w:t>
            </w:r>
            <w:r w:rsidR="0015041B">
              <w:rPr>
                <w:sz w:val="20"/>
                <w:szCs w:val="20"/>
              </w:rPr>
              <w:t>дание и размещение на региональ</w:t>
            </w:r>
            <w:r w:rsidRPr="00E30640">
              <w:rPr>
                <w:sz w:val="20"/>
                <w:szCs w:val="20"/>
              </w:rPr>
              <w:t xml:space="preserve">ных    </w:t>
            </w:r>
            <w:r w:rsidR="0015041B">
              <w:rPr>
                <w:sz w:val="20"/>
                <w:szCs w:val="20"/>
              </w:rPr>
              <w:t>порталах государственных муници</w:t>
            </w:r>
            <w:r w:rsidRPr="00E30640">
              <w:rPr>
                <w:sz w:val="20"/>
                <w:szCs w:val="20"/>
              </w:rPr>
              <w:t>пальных услуг  реестров, хозяйствующих субъектов, имеющих право на оказание услуг по организации похорон, включая стоимость оказываемых ими ритуальны</w:t>
            </w:r>
          </w:p>
        </w:tc>
        <w:tc>
          <w:tcPr>
            <w:tcW w:w="1781" w:type="dxa"/>
          </w:tcPr>
          <w:p w14:paraId="0C650A63" w14:textId="77777777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Непрозрачность информации о стоимости ритуальных услуг</w:t>
            </w:r>
          </w:p>
        </w:tc>
        <w:tc>
          <w:tcPr>
            <w:tcW w:w="3180" w:type="dxa"/>
          </w:tcPr>
          <w:p w14:paraId="1B4C2F31" w14:textId="41D7A55D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созданы размещены на региональных порталах государств</w:t>
            </w:r>
            <w:r w:rsidR="0015041B">
              <w:rPr>
                <w:sz w:val="20"/>
                <w:szCs w:val="20"/>
              </w:rPr>
              <w:t>енных муни</w:t>
            </w:r>
            <w:r w:rsidRPr="00E30640">
              <w:rPr>
                <w:sz w:val="20"/>
                <w:szCs w:val="20"/>
              </w:rPr>
              <w:t>ципальных усл</w:t>
            </w:r>
            <w:r w:rsidR="0015041B">
              <w:rPr>
                <w:sz w:val="20"/>
                <w:szCs w:val="20"/>
              </w:rPr>
              <w:t>уг реестры хозяйствующих субъек</w:t>
            </w:r>
            <w:r w:rsidRPr="00E30640">
              <w:rPr>
                <w:sz w:val="20"/>
                <w:szCs w:val="20"/>
              </w:rPr>
              <w:t>тов, имеющих пр</w:t>
            </w:r>
            <w:r w:rsidR="0015041B">
              <w:rPr>
                <w:sz w:val="20"/>
                <w:szCs w:val="20"/>
              </w:rPr>
              <w:t>аво на оказание услуг по органи</w:t>
            </w:r>
            <w:r w:rsidRPr="00E30640">
              <w:rPr>
                <w:sz w:val="20"/>
                <w:szCs w:val="20"/>
              </w:rPr>
              <w:t>зации похорон</w:t>
            </w:r>
          </w:p>
        </w:tc>
        <w:tc>
          <w:tcPr>
            <w:tcW w:w="992" w:type="dxa"/>
          </w:tcPr>
          <w:p w14:paraId="54BB1941" w14:textId="77777777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1 сентября 2023 года</w:t>
            </w:r>
          </w:p>
        </w:tc>
        <w:tc>
          <w:tcPr>
            <w:tcW w:w="2943" w:type="dxa"/>
          </w:tcPr>
          <w:p w14:paraId="28C4C422" w14:textId="77777777" w:rsidR="00C27BFB" w:rsidRPr="00E30640" w:rsidRDefault="00CF3885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Постановление Правительства Республики Дагестан</w:t>
            </w:r>
          </w:p>
        </w:tc>
        <w:tc>
          <w:tcPr>
            <w:tcW w:w="1768" w:type="dxa"/>
          </w:tcPr>
          <w:p w14:paraId="0A6677CE" w14:textId="180EE2D2" w:rsidR="00431091" w:rsidRDefault="00431091" w:rsidP="004310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МиннацРД</w:t>
            </w:r>
            <w:proofErr w:type="spellEnd"/>
            <w:r w:rsidR="00CF3885" w:rsidRPr="00E30640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 Администрация МР «Рутульский район»</w:t>
            </w:r>
          </w:p>
          <w:p w14:paraId="1FA506F3" w14:textId="6A383C19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41A84343" w14:textId="77777777" w:rsidTr="0015041B">
        <w:trPr>
          <w:trHeight w:val="541"/>
        </w:trPr>
        <w:tc>
          <w:tcPr>
            <w:tcW w:w="492" w:type="dxa"/>
          </w:tcPr>
          <w:p w14:paraId="6E8E39F0" w14:textId="77777777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4323" w:type="dxa"/>
          </w:tcPr>
          <w:p w14:paraId="61519E00" w14:textId="626F95F1" w:rsidR="00C27BFB" w:rsidRPr="00E30640" w:rsidRDefault="00CF388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Оказание услуг по</w:t>
            </w:r>
            <w:r w:rsidR="0015041B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организации похорон по принцип</w:t>
            </w: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у «одного окна» на основе конкуренции с предоставлением </w:t>
            </w:r>
            <w:r w:rsidR="000853E5"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лицам, ответственным за захоронение , полной информации об указанных хозяйствующих субъектах , содержащейся в таких реестрах</w:t>
            </w:r>
          </w:p>
        </w:tc>
        <w:tc>
          <w:tcPr>
            <w:tcW w:w="1781" w:type="dxa"/>
          </w:tcPr>
          <w:p w14:paraId="132762E9" w14:textId="77777777" w:rsidR="00C27BFB" w:rsidRPr="00E30640" w:rsidRDefault="000853E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Непрозрачность информации о стоимости ритуальных услуг</w:t>
            </w:r>
          </w:p>
        </w:tc>
        <w:tc>
          <w:tcPr>
            <w:tcW w:w="3180" w:type="dxa"/>
          </w:tcPr>
          <w:p w14:paraId="690A3040" w14:textId="036C59F2" w:rsidR="00C27BFB" w:rsidRPr="00E30640" w:rsidRDefault="0015041B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оказание услуг по организации похорон по принципу «одного окна» на основе конкуренции предо</w:t>
            </w:r>
            <w:r w:rsidR="000853E5" w:rsidRPr="00E30640">
              <w:rPr>
                <w:sz w:val="20"/>
                <w:szCs w:val="20"/>
              </w:rPr>
              <w:t>ставлением лицам, ответственным за захоронение, полной информации хозяйствующих субъектах, содержащейся реестрах хозяйствующих суб</w:t>
            </w:r>
            <w:r>
              <w:rPr>
                <w:sz w:val="20"/>
                <w:szCs w:val="20"/>
              </w:rPr>
              <w:t>ъек</w:t>
            </w:r>
            <w:r w:rsidR="000853E5" w:rsidRPr="00E30640">
              <w:rPr>
                <w:sz w:val="20"/>
                <w:szCs w:val="20"/>
              </w:rPr>
              <w:t>тов, имеющих пр</w:t>
            </w:r>
            <w:r>
              <w:rPr>
                <w:sz w:val="20"/>
                <w:szCs w:val="20"/>
              </w:rPr>
              <w:t>аво на оказание услуг по органи</w:t>
            </w:r>
            <w:r w:rsidR="000853E5" w:rsidRPr="00E30640">
              <w:rPr>
                <w:sz w:val="20"/>
                <w:szCs w:val="20"/>
              </w:rPr>
              <w:t>зации похорон, включая стоимость ок</w:t>
            </w:r>
            <w:r>
              <w:rPr>
                <w:sz w:val="20"/>
                <w:szCs w:val="20"/>
              </w:rPr>
              <w:t>азываемых хозяйствующими субъек</w:t>
            </w:r>
            <w:r w:rsidR="000853E5" w:rsidRPr="00E30640">
              <w:rPr>
                <w:sz w:val="20"/>
                <w:szCs w:val="20"/>
              </w:rPr>
              <w:t>тами ритуальныхусл5</w:t>
            </w:r>
          </w:p>
        </w:tc>
        <w:tc>
          <w:tcPr>
            <w:tcW w:w="992" w:type="dxa"/>
          </w:tcPr>
          <w:p w14:paraId="46E9FC83" w14:textId="77777777" w:rsidR="00C27BFB" w:rsidRPr="00E30640" w:rsidRDefault="000853E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31 декабря 2025 года</w:t>
            </w:r>
          </w:p>
        </w:tc>
        <w:tc>
          <w:tcPr>
            <w:tcW w:w="2943" w:type="dxa"/>
          </w:tcPr>
          <w:p w14:paraId="198911B2" w14:textId="77777777" w:rsidR="00C27BFB" w:rsidRPr="00E30640" w:rsidRDefault="000853E5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нормативный правовой акт муниципального-образования</w:t>
            </w:r>
          </w:p>
        </w:tc>
        <w:tc>
          <w:tcPr>
            <w:tcW w:w="1768" w:type="dxa"/>
          </w:tcPr>
          <w:p w14:paraId="026A19F2" w14:textId="56E6B0EB" w:rsidR="00431091" w:rsidRDefault="00431091" w:rsidP="004310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МиннацРД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ГАУРД«</w:t>
            </w:r>
            <w:proofErr w:type="gramEnd"/>
            <w:r>
              <w:rPr>
                <w:sz w:val="20"/>
                <w:szCs w:val="20"/>
              </w:rPr>
              <w:t>МФЦвРД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="000853E5" w:rsidRPr="00E30640">
              <w:rPr>
                <w:sz w:val="20"/>
                <w:szCs w:val="20"/>
              </w:rPr>
              <w:t>согласованию</w:t>
            </w:r>
            <w:proofErr w:type="spellEnd"/>
            <w:r w:rsidR="000853E5" w:rsidRPr="00E3064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B619C">
              <w:rPr>
                <w:sz w:val="20"/>
                <w:szCs w:val="20"/>
              </w:rPr>
              <w:t xml:space="preserve">отдел ОСА </w:t>
            </w:r>
            <w:proofErr w:type="spellStart"/>
            <w:r w:rsidR="001B619C">
              <w:rPr>
                <w:sz w:val="20"/>
                <w:szCs w:val="20"/>
              </w:rPr>
              <w:t>иЖКХ</w:t>
            </w:r>
            <w:proofErr w:type="spellEnd"/>
            <w:r w:rsidR="001B619C">
              <w:rPr>
                <w:sz w:val="20"/>
                <w:szCs w:val="20"/>
              </w:rPr>
              <w:t xml:space="preserve"> </w:t>
            </w:r>
            <w:r w:rsidR="001B619C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МР «Рутульский район»</w:t>
            </w:r>
          </w:p>
          <w:p w14:paraId="3A78A6EA" w14:textId="0C66A164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777D2A4E" w14:textId="77777777" w:rsidTr="0015041B">
        <w:trPr>
          <w:trHeight w:val="5913"/>
        </w:trPr>
        <w:tc>
          <w:tcPr>
            <w:tcW w:w="492" w:type="dxa"/>
          </w:tcPr>
          <w:p w14:paraId="6F293C86" w14:textId="77777777" w:rsidR="00C27BFB" w:rsidRPr="00E30640" w:rsidRDefault="000853E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36</w:t>
            </w:r>
          </w:p>
        </w:tc>
        <w:tc>
          <w:tcPr>
            <w:tcW w:w="4323" w:type="dxa"/>
          </w:tcPr>
          <w:p w14:paraId="1C03E30F" w14:textId="4B96356C" w:rsidR="000853E5" w:rsidRPr="00E30640" w:rsidRDefault="000853E5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Проведение открытых опросов предпринимателей целях определения спроса/потребности предоставлении ме</w:t>
            </w:r>
            <w:r w:rsidR="0015041B">
              <w:rPr>
                <w:sz w:val="20"/>
                <w:szCs w:val="20"/>
              </w:rPr>
              <w:t>ст под размещение нестационарных</w:t>
            </w:r>
            <w:r w:rsidRPr="00E30640">
              <w:rPr>
                <w:sz w:val="20"/>
                <w:szCs w:val="20"/>
              </w:rPr>
              <w:t xml:space="preserve"> торговых объектов;</w:t>
            </w:r>
          </w:p>
          <w:p w14:paraId="5C2A6C06" w14:textId="77777777" w:rsidR="000853E5" w:rsidRPr="00E30640" w:rsidRDefault="000853E5" w:rsidP="00596232">
            <w:pPr>
              <w:widowControl w:val="0"/>
              <w:rPr>
                <w:sz w:val="20"/>
                <w:szCs w:val="20"/>
              </w:rPr>
            </w:pPr>
          </w:p>
          <w:p w14:paraId="627EF726" w14:textId="77777777" w:rsidR="000853E5" w:rsidRPr="00E30640" w:rsidRDefault="000853E5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 xml:space="preserve"> подготовка участием органов местного самоуправления предложений по изменению схемы размещения нестационарных торговых объектов (расширение перечня объектов); </w:t>
            </w:r>
          </w:p>
          <w:p w14:paraId="3BDC45E5" w14:textId="77777777" w:rsidR="000853E5" w:rsidRPr="00E30640" w:rsidRDefault="000853E5" w:rsidP="00596232">
            <w:pPr>
              <w:widowControl w:val="0"/>
              <w:rPr>
                <w:sz w:val="20"/>
                <w:szCs w:val="20"/>
              </w:rPr>
            </w:pPr>
          </w:p>
          <w:p w14:paraId="0C723AE9" w14:textId="77777777" w:rsidR="00C27BFB" w:rsidRPr="00E30640" w:rsidRDefault="000853E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1781" w:type="dxa"/>
          </w:tcPr>
          <w:p w14:paraId="154AB285" w14:textId="005FA1C0" w:rsidR="00C27BFB" w:rsidRPr="00E30640" w:rsidRDefault="000853E5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отсутствие актуальной информации о спросе/потребности предпринимателей предоставлении мест под размещение нестационарных торговы</w:t>
            </w:r>
            <w:r w:rsidR="0015041B">
              <w:rPr>
                <w:sz w:val="20"/>
                <w:szCs w:val="20"/>
              </w:rPr>
              <w:t>х объектов; отсутствие муниципа</w:t>
            </w:r>
            <w:r w:rsidRPr="00E30640">
              <w:rPr>
                <w:sz w:val="20"/>
                <w:szCs w:val="20"/>
              </w:rPr>
              <w:t xml:space="preserve">льных </w:t>
            </w:r>
            <w:r w:rsidR="0015041B">
              <w:rPr>
                <w:sz w:val="20"/>
                <w:szCs w:val="20"/>
              </w:rPr>
              <w:t>образованиях республики упорядо</w:t>
            </w:r>
            <w:r w:rsidRPr="00E30640">
              <w:rPr>
                <w:sz w:val="20"/>
                <w:szCs w:val="20"/>
              </w:rPr>
              <w:t>ченного</w:t>
            </w:r>
            <w:r w:rsidR="0015041B">
              <w:rPr>
                <w:sz w:val="20"/>
                <w:szCs w:val="20"/>
              </w:rPr>
              <w:t xml:space="preserve"> размещения не стационарных торговых объектов соответствии действующим законодатель</w:t>
            </w:r>
            <w:r w:rsidRPr="00E30640">
              <w:rPr>
                <w:sz w:val="20"/>
                <w:szCs w:val="20"/>
              </w:rPr>
              <w:t>ство</w:t>
            </w:r>
          </w:p>
        </w:tc>
        <w:tc>
          <w:tcPr>
            <w:tcW w:w="3180" w:type="dxa"/>
          </w:tcPr>
          <w:p w14:paraId="6DAF62CB" w14:textId="5844D221" w:rsidR="00C27BFB" w:rsidRPr="00E30640" w:rsidRDefault="0015041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у</w:t>
            </w:r>
            <w:r w:rsidR="00B50B9B" w:rsidRPr="00E30640">
              <w:rPr>
                <w:sz w:val="20"/>
                <w:szCs w:val="20"/>
              </w:rPr>
              <w:t>величение ко</w:t>
            </w:r>
            <w:r>
              <w:rPr>
                <w:sz w:val="20"/>
                <w:szCs w:val="20"/>
              </w:rPr>
              <w:t>личества не стационарных мобиль</w:t>
            </w:r>
            <w:r w:rsidR="00B50B9B" w:rsidRPr="00E30640">
              <w:rPr>
                <w:sz w:val="20"/>
                <w:szCs w:val="20"/>
              </w:rPr>
              <w:t>ных торговых объектов торговых мест под них не менее чем на 10 проц. 2025 году по отношению в 2020 году</w:t>
            </w:r>
          </w:p>
        </w:tc>
        <w:tc>
          <w:tcPr>
            <w:tcW w:w="992" w:type="dxa"/>
          </w:tcPr>
          <w:p w14:paraId="7C6DF4B6" w14:textId="77777777" w:rsidR="00C27BFB" w:rsidRPr="00E30640" w:rsidRDefault="00B50B9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31 декабря 2024 года</w:t>
            </w:r>
          </w:p>
        </w:tc>
        <w:tc>
          <w:tcPr>
            <w:tcW w:w="2943" w:type="dxa"/>
          </w:tcPr>
          <w:p w14:paraId="2151EAC5" w14:textId="77777777" w:rsidR="00C27BFB" w:rsidRPr="00B956D2" w:rsidRDefault="00B50B9B" w:rsidP="0015041B">
            <w:pPr>
              <w:widowControl w:val="0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956D2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Доклад, Постановление Правительства РД </w:t>
            </w:r>
          </w:p>
        </w:tc>
        <w:tc>
          <w:tcPr>
            <w:tcW w:w="1768" w:type="dxa"/>
          </w:tcPr>
          <w:p w14:paraId="5EA85CC2" w14:textId="77777777" w:rsidR="00C27BFB" w:rsidRPr="00E30640" w:rsidRDefault="00B50B9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Минпромторг</w:t>
            </w:r>
            <w:proofErr w:type="spellEnd"/>
          </w:p>
          <w:p w14:paraId="4AA647C4" w14:textId="62B9CDFD" w:rsidR="00431091" w:rsidRDefault="00B50B9B" w:rsidP="00431091">
            <w:pPr>
              <w:widowControl w:val="0"/>
              <w:rPr>
                <w:sz w:val="20"/>
                <w:szCs w:val="20"/>
              </w:rPr>
            </w:pPr>
            <w:proofErr w:type="gramStart"/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( по</w:t>
            </w:r>
            <w:proofErr w:type="gramEnd"/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 xml:space="preserve"> согласованию)</w:t>
            </w:r>
            <w:r w:rsidR="00431091">
              <w:rPr>
                <w:sz w:val="20"/>
                <w:szCs w:val="20"/>
              </w:rPr>
              <w:t xml:space="preserve"> </w:t>
            </w:r>
            <w:r w:rsidR="00B956D2">
              <w:rPr>
                <w:sz w:val="20"/>
                <w:szCs w:val="20"/>
              </w:rPr>
              <w:t xml:space="preserve">Отдел экономики и имущественных отношений </w:t>
            </w:r>
            <w:r w:rsidR="00B956D2">
              <w:rPr>
                <w:sz w:val="20"/>
                <w:szCs w:val="20"/>
              </w:rPr>
              <w:t xml:space="preserve">Администрации </w:t>
            </w:r>
            <w:r w:rsidR="00431091">
              <w:rPr>
                <w:sz w:val="20"/>
                <w:szCs w:val="20"/>
              </w:rPr>
              <w:t>МР «Рутульский район»</w:t>
            </w:r>
            <w:r w:rsidR="001B619C">
              <w:rPr>
                <w:sz w:val="20"/>
                <w:szCs w:val="20"/>
              </w:rPr>
              <w:t>, администрации сельских поселений</w:t>
            </w:r>
          </w:p>
          <w:p w14:paraId="7BFB6C78" w14:textId="2450CBC7" w:rsidR="00B50B9B" w:rsidRPr="00E30640" w:rsidRDefault="00B50B9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5041B" w:rsidRPr="00E30640" w14:paraId="799DD530" w14:textId="77777777" w:rsidTr="0015041B">
        <w:trPr>
          <w:trHeight w:val="7808"/>
        </w:trPr>
        <w:tc>
          <w:tcPr>
            <w:tcW w:w="492" w:type="dxa"/>
          </w:tcPr>
          <w:p w14:paraId="17CCF623" w14:textId="42E3E10B" w:rsidR="00C27BFB" w:rsidRPr="00E30640" w:rsidRDefault="0094347A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lastRenderedPageBreak/>
              <w:t>37</w:t>
            </w:r>
          </w:p>
        </w:tc>
        <w:tc>
          <w:tcPr>
            <w:tcW w:w="4323" w:type="dxa"/>
          </w:tcPr>
          <w:p w14:paraId="0AD6744B" w14:textId="5EAF8328" w:rsidR="007F56C9" w:rsidRPr="00E30640" w:rsidRDefault="007F56C9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Разработка утверждение программы по проведению выставок/ярмарок, включаю щей ме</w:t>
            </w:r>
            <w:r w:rsidR="0015041B">
              <w:rPr>
                <w:sz w:val="20"/>
                <w:szCs w:val="20"/>
              </w:rPr>
              <w:t>роприятия по созданию новых тор</w:t>
            </w:r>
            <w:r w:rsidRPr="00E30640">
              <w:rPr>
                <w:sz w:val="20"/>
                <w:szCs w:val="20"/>
              </w:rPr>
              <w:t>говых мест, снижению или освобождению от платы за их использование, размещение программы сети информа</w:t>
            </w:r>
            <w:r w:rsidR="0015041B">
              <w:rPr>
                <w:sz w:val="20"/>
                <w:szCs w:val="20"/>
              </w:rPr>
              <w:t>цио</w:t>
            </w:r>
            <w:r w:rsidRPr="00E30640">
              <w:rPr>
                <w:sz w:val="20"/>
                <w:szCs w:val="20"/>
              </w:rPr>
              <w:t>нно-телекоммуника</w:t>
            </w:r>
            <w:r w:rsidR="0015041B">
              <w:rPr>
                <w:sz w:val="20"/>
                <w:szCs w:val="20"/>
              </w:rPr>
              <w:t>цио</w:t>
            </w:r>
            <w:r w:rsidRPr="00E30640">
              <w:rPr>
                <w:sz w:val="20"/>
                <w:szCs w:val="20"/>
              </w:rPr>
              <w:t xml:space="preserve">нной сети «Интернет»; </w:t>
            </w:r>
          </w:p>
          <w:p w14:paraId="2D0B63AC" w14:textId="24034B04" w:rsidR="00C27BFB" w:rsidRPr="00E30640" w:rsidRDefault="007F56C9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проведение мониторинга с целью определения администрат</w:t>
            </w:r>
            <w:r w:rsidR="0015041B">
              <w:rPr>
                <w:sz w:val="20"/>
                <w:szCs w:val="20"/>
              </w:rPr>
              <w:t>ивных барьеров, эконо</w:t>
            </w:r>
            <w:r w:rsidRPr="00E30640">
              <w:rPr>
                <w:sz w:val="20"/>
                <w:szCs w:val="20"/>
              </w:rPr>
              <w:t>мических</w:t>
            </w:r>
            <w:r w:rsidR="0015041B">
              <w:rPr>
                <w:sz w:val="20"/>
                <w:szCs w:val="20"/>
              </w:rPr>
              <w:t xml:space="preserve"> ограничений, иных факторов, яв</w:t>
            </w:r>
            <w:r w:rsidRPr="00E30640">
              <w:rPr>
                <w:sz w:val="20"/>
                <w:szCs w:val="20"/>
              </w:rPr>
              <w:t>ляющихся барьерами для входа на рынок (выхода</w:t>
            </w:r>
            <w:r w:rsidR="0015041B">
              <w:rPr>
                <w:sz w:val="20"/>
                <w:szCs w:val="20"/>
              </w:rPr>
              <w:t xml:space="preserve"> рынка), и их устранение, проведение заседаний межведомст</w:t>
            </w:r>
            <w:r w:rsidRPr="00E30640">
              <w:rPr>
                <w:sz w:val="20"/>
                <w:szCs w:val="20"/>
              </w:rPr>
              <w:t>венных экспертных советов</w:t>
            </w:r>
          </w:p>
        </w:tc>
        <w:tc>
          <w:tcPr>
            <w:tcW w:w="1781" w:type="dxa"/>
          </w:tcPr>
          <w:p w14:paraId="58EF79E1" w14:textId="6D8363B4" w:rsidR="007F70B4" w:rsidRPr="00E30640" w:rsidRDefault="007F56C9" w:rsidP="00596232">
            <w:pPr>
              <w:widowControl w:val="0"/>
              <w:rPr>
                <w:sz w:val="20"/>
                <w:szCs w:val="20"/>
              </w:rPr>
            </w:pPr>
            <w:r w:rsidRPr="00E30640">
              <w:rPr>
                <w:sz w:val="20"/>
                <w:szCs w:val="20"/>
              </w:rPr>
              <w:t>ограничен</w:t>
            </w:r>
            <w:r w:rsidR="0015041B">
              <w:rPr>
                <w:sz w:val="20"/>
                <w:szCs w:val="20"/>
              </w:rPr>
              <w:t>ные возмож</w:t>
            </w:r>
            <w:r w:rsidRPr="00E30640">
              <w:rPr>
                <w:sz w:val="20"/>
                <w:szCs w:val="20"/>
              </w:rPr>
              <w:t>ности республиканских предпринимате</w:t>
            </w:r>
            <w:r w:rsidR="007F70B4" w:rsidRPr="00E30640">
              <w:rPr>
                <w:sz w:val="20"/>
                <w:szCs w:val="20"/>
              </w:rPr>
              <w:t>лей по продвижению собствен</w:t>
            </w:r>
            <w:r w:rsidRPr="00E30640">
              <w:rPr>
                <w:sz w:val="20"/>
                <w:szCs w:val="20"/>
              </w:rPr>
              <w:t>ной продукции на по</w:t>
            </w:r>
            <w:r w:rsidR="0015041B">
              <w:rPr>
                <w:sz w:val="20"/>
                <w:szCs w:val="20"/>
              </w:rPr>
              <w:t>стоянной основе, де</w:t>
            </w:r>
            <w:r w:rsidRPr="00E30640">
              <w:rPr>
                <w:sz w:val="20"/>
                <w:szCs w:val="20"/>
              </w:rPr>
              <w:t>монстра</w:t>
            </w:r>
            <w:r w:rsidR="007F70B4" w:rsidRPr="00E30640">
              <w:rPr>
                <w:sz w:val="20"/>
                <w:szCs w:val="20"/>
              </w:rPr>
              <w:t>ции товара це</w:t>
            </w:r>
            <w:r w:rsidRPr="00E30640">
              <w:rPr>
                <w:sz w:val="20"/>
                <w:szCs w:val="20"/>
              </w:rPr>
              <w:t>левой аудитории, налажива</w:t>
            </w:r>
            <w:r w:rsidR="007F70B4" w:rsidRPr="00E30640">
              <w:rPr>
                <w:sz w:val="20"/>
                <w:szCs w:val="20"/>
              </w:rPr>
              <w:t>нию торговых свя</w:t>
            </w:r>
            <w:r w:rsidRPr="00E30640">
              <w:rPr>
                <w:sz w:val="20"/>
                <w:szCs w:val="20"/>
              </w:rPr>
              <w:t xml:space="preserve">зей; </w:t>
            </w:r>
          </w:p>
          <w:p w14:paraId="4D645CA0" w14:textId="77777777" w:rsidR="007F70B4" w:rsidRPr="00E30640" w:rsidRDefault="007F70B4" w:rsidP="00596232">
            <w:pPr>
              <w:widowControl w:val="0"/>
              <w:rPr>
                <w:sz w:val="20"/>
                <w:szCs w:val="20"/>
              </w:rPr>
            </w:pPr>
          </w:p>
          <w:p w14:paraId="28FB97DA" w14:textId="5E7DCC01" w:rsidR="007F56C9" w:rsidRPr="00E30640" w:rsidRDefault="0015041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недостаток информа</w:t>
            </w:r>
            <w:r w:rsidR="007F56C9" w:rsidRPr="00E30640">
              <w:rPr>
                <w:sz w:val="20"/>
                <w:szCs w:val="20"/>
              </w:rPr>
              <w:t>ции об административных барьерах, экономических ограниче</w:t>
            </w:r>
            <w:r w:rsidR="007F70B4" w:rsidRPr="00E30640">
              <w:rPr>
                <w:sz w:val="20"/>
                <w:szCs w:val="20"/>
              </w:rPr>
              <w:t>ниях, иных факторах, являю</w:t>
            </w:r>
            <w:r w:rsidR="007F56C9" w:rsidRPr="00E30640">
              <w:rPr>
                <w:sz w:val="20"/>
                <w:szCs w:val="20"/>
              </w:rPr>
              <w:t>щихся барьерами для входа пред</w:t>
            </w:r>
            <w:r w:rsidR="007F70B4" w:rsidRPr="00E30640">
              <w:rPr>
                <w:sz w:val="20"/>
                <w:szCs w:val="20"/>
              </w:rPr>
              <w:t>принимателей на рынок, для акту</w:t>
            </w:r>
            <w:r w:rsidR="007F56C9" w:rsidRPr="00E30640">
              <w:rPr>
                <w:sz w:val="20"/>
                <w:szCs w:val="20"/>
              </w:rPr>
              <w:t>ализа</w:t>
            </w:r>
            <w:r w:rsidR="007F70B4" w:rsidRPr="00E30640">
              <w:rPr>
                <w:sz w:val="20"/>
                <w:szCs w:val="20"/>
              </w:rPr>
              <w:t>ции мер государ</w:t>
            </w:r>
            <w:r w:rsidR="007F56C9" w:rsidRPr="00E30640">
              <w:rPr>
                <w:sz w:val="20"/>
                <w:szCs w:val="20"/>
              </w:rPr>
              <w:t>ственной поддержки</w:t>
            </w:r>
          </w:p>
          <w:p w14:paraId="61477077" w14:textId="77777777" w:rsidR="00C27BFB" w:rsidRPr="00E30640" w:rsidRDefault="00C27BFB" w:rsidP="007F56C9">
            <w:pPr>
              <w:rPr>
                <w:rFonts w:ascii="DejaVu Sans" w:eastAsia="DejaVu Sans" w:hAnsi="DejaVu Sans" w:cs="DejaVu Sans"/>
                <w:sz w:val="20"/>
                <w:szCs w:val="20"/>
                <w:lang w:eastAsia="ru-RU" w:bidi="ru-RU"/>
              </w:rPr>
            </w:pPr>
          </w:p>
        </w:tc>
        <w:tc>
          <w:tcPr>
            <w:tcW w:w="3180" w:type="dxa"/>
          </w:tcPr>
          <w:p w14:paraId="56FD3BEB" w14:textId="17C0C0AE" w:rsidR="00C27BFB" w:rsidRPr="00E30640" w:rsidRDefault="007F56C9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sz w:val="20"/>
                <w:szCs w:val="20"/>
              </w:rPr>
              <w:t>увеличение количества не стационарных мобильных торговых объектов торговых мест под них не менее чем на 10 проц. 2025 году по отношени</w:t>
            </w:r>
            <w:r w:rsidR="007F70B4" w:rsidRPr="00E30640">
              <w:rPr>
                <w:sz w:val="20"/>
                <w:szCs w:val="20"/>
              </w:rPr>
              <w:t>ю к 2020 году</w:t>
            </w:r>
          </w:p>
        </w:tc>
        <w:tc>
          <w:tcPr>
            <w:tcW w:w="992" w:type="dxa"/>
          </w:tcPr>
          <w:p w14:paraId="4BF08947" w14:textId="77777777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43" w:type="dxa"/>
          </w:tcPr>
          <w:p w14:paraId="6EBF36D9" w14:textId="239A35EF" w:rsidR="00C27BFB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Программа</w:t>
            </w:r>
          </w:p>
          <w:p w14:paraId="0B9E1D72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5CFC77FC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EFDDE58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44B1EF90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F6C99B9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0CF43BC3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32E68183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A78903D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7F8C351E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3D6DEC54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315A0708" w14:textId="77777777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592C97D3" w14:textId="77777777" w:rsidR="00252973" w:rsidRDefault="00252973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BFF612C" w14:textId="77777777" w:rsidR="00252973" w:rsidRDefault="00252973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46B00284" w14:textId="77777777" w:rsidR="00252973" w:rsidRDefault="00252973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3FED3185" w14:textId="77777777" w:rsidR="00252973" w:rsidRDefault="00252973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2F08C8BE" w14:textId="77777777" w:rsidR="00252973" w:rsidRDefault="00252973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  <w:p w14:paraId="65CF39A3" w14:textId="0B492371" w:rsidR="007F70B4" w:rsidRPr="00E30640" w:rsidRDefault="007F70B4" w:rsidP="0015041B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  <w:r w:rsidRPr="00E30640"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  <w:t>доклад</w:t>
            </w:r>
          </w:p>
        </w:tc>
        <w:tc>
          <w:tcPr>
            <w:tcW w:w="1768" w:type="dxa"/>
          </w:tcPr>
          <w:p w14:paraId="139557A0" w14:textId="615D7B92" w:rsidR="00431091" w:rsidRDefault="00431091" w:rsidP="004310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Минпромторг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РД,  (</w:t>
            </w:r>
            <w:proofErr w:type="spellStart"/>
            <w:proofErr w:type="gramEnd"/>
            <w:r>
              <w:rPr>
                <w:sz w:val="20"/>
                <w:szCs w:val="20"/>
              </w:rPr>
              <w:t>по</w:t>
            </w:r>
            <w:r w:rsidR="007F70B4" w:rsidRPr="00E30640">
              <w:rPr>
                <w:sz w:val="20"/>
                <w:szCs w:val="20"/>
              </w:rPr>
              <w:t>согласованию</w:t>
            </w:r>
            <w:proofErr w:type="spellEnd"/>
            <w:r w:rsidR="007F70B4" w:rsidRPr="00E3064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956D2">
              <w:rPr>
                <w:sz w:val="20"/>
                <w:szCs w:val="20"/>
              </w:rPr>
              <w:t xml:space="preserve">Отдел экономики и имущественных отношений </w:t>
            </w:r>
            <w:r w:rsidR="00B956D2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МР «Рутульский район»</w:t>
            </w:r>
            <w:r w:rsidR="001B619C">
              <w:rPr>
                <w:sz w:val="20"/>
                <w:szCs w:val="20"/>
              </w:rPr>
              <w:t xml:space="preserve"> </w:t>
            </w:r>
            <w:r w:rsidR="001B619C">
              <w:rPr>
                <w:sz w:val="20"/>
                <w:szCs w:val="20"/>
              </w:rPr>
              <w:t>администрации сельских поселений</w:t>
            </w:r>
          </w:p>
          <w:p w14:paraId="59E3220B" w14:textId="192FF82A" w:rsidR="00C27BFB" w:rsidRPr="00E30640" w:rsidRDefault="00C27BFB" w:rsidP="00596232">
            <w:pPr>
              <w:widowControl w:val="0"/>
              <w:rPr>
                <w:rFonts w:ascii="DejaVu Sans" w:eastAsia="DejaVu Sans" w:hAnsi="DejaVu Sans" w:cs="DejaVu San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43C1038" w14:textId="1B0835AE" w:rsidR="0015041B" w:rsidRDefault="0015041B" w:rsidP="0059623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0"/>
          <w:szCs w:val="20"/>
          <w:lang w:eastAsia="ru-RU" w:bidi="ru-RU"/>
        </w:rPr>
      </w:pPr>
    </w:p>
    <w:p w14:paraId="25001C98" w14:textId="1055B888" w:rsidR="0015041B" w:rsidRDefault="0015041B" w:rsidP="0015041B">
      <w:pPr>
        <w:rPr>
          <w:rFonts w:ascii="DejaVu Sans" w:eastAsia="DejaVu Sans" w:hAnsi="DejaVu Sans" w:cs="DejaVu Sans"/>
          <w:sz w:val="20"/>
          <w:szCs w:val="20"/>
          <w:lang w:eastAsia="ru-RU" w:bidi="ru-RU"/>
        </w:rPr>
      </w:pPr>
    </w:p>
    <w:p w14:paraId="618DEE8D" w14:textId="2A6882BD" w:rsidR="00596232" w:rsidRPr="00E30640" w:rsidRDefault="0015041B" w:rsidP="0015041B">
      <w:pPr>
        <w:tabs>
          <w:tab w:val="left" w:pos="423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  <w:lang w:eastAsia="ru-RU" w:bidi="ru-RU"/>
        </w:rPr>
        <w:tab/>
      </w:r>
    </w:p>
    <w:sectPr w:rsidR="00596232" w:rsidRPr="00E30640" w:rsidSect="00252973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AA8E" w14:textId="77777777" w:rsidR="00BA22B8" w:rsidRDefault="00BA22B8">
      <w:pPr>
        <w:spacing w:after="0" w:line="240" w:lineRule="auto"/>
      </w:pPr>
      <w:r>
        <w:separator/>
      </w:r>
    </w:p>
  </w:endnote>
  <w:endnote w:type="continuationSeparator" w:id="0">
    <w:p w14:paraId="4C90C8B0" w14:textId="77777777" w:rsidR="00BA22B8" w:rsidRDefault="00BA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icrosoft Sans Serif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33CE" w14:textId="77777777" w:rsidR="003E5633" w:rsidRDefault="00BA22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ADEF" w14:textId="77777777" w:rsidR="003E5633" w:rsidRDefault="00BA22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72BE" w14:textId="77777777" w:rsidR="00BA22B8" w:rsidRDefault="00BA22B8">
      <w:pPr>
        <w:spacing w:after="0" w:line="240" w:lineRule="auto"/>
      </w:pPr>
      <w:r>
        <w:separator/>
      </w:r>
    </w:p>
  </w:footnote>
  <w:footnote w:type="continuationSeparator" w:id="0">
    <w:p w14:paraId="3F3AD657" w14:textId="77777777" w:rsidR="00BA22B8" w:rsidRDefault="00BA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78C8" w14:textId="77777777" w:rsidR="003E5633" w:rsidRDefault="00BA22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E8BE" w14:textId="77777777" w:rsidR="003E5633" w:rsidRDefault="00BA2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9"/>
    <w:rsid w:val="000853E5"/>
    <w:rsid w:val="000A0F4F"/>
    <w:rsid w:val="0015041B"/>
    <w:rsid w:val="001B619C"/>
    <w:rsid w:val="001B7E44"/>
    <w:rsid w:val="00243DB9"/>
    <w:rsid w:val="00252973"/>
    <w:rsid w:val="00431091"/>
    <w:rsid w:val="00502866"/>
    <w:rsid w:val="00596232"/>
    <w:rsid w:val="007805DA"/>
    <w:rsid w:val="007A4BB9"/>
    <w:rsid w:val="007F56C9"/>
    <w:rsid w:val="007F70B4"/>
    <w:rsid w:val="008150A4"/>
    <w:rsid w:val="00860A64"/>
    <w:rsid w:val="008F7CAC"/>
    <w:rsid w:val="0094347A"/>
    <w:rsid w:val="009F78B8"/>
    <w:rsid w:val="00A961E0"/>
    <w:rsid w:val="00AE46AC"/>
    <w:rsid w:val="00B50B9B"/>
    <w:rsid w:val="00B956D2"/>
    <w:rsid w:val="00BA22B8"/>
    <w:rsid w:val="00BE6302"/>
    <w:rsid w:val="00BF497C"/>
    <w:rsid w:val="00C27BFB"/>
    <w:rsid w:val="00CA0CBC"/>
    <w:rsid w:val="00CF3358"/>
    <w:rsid w:val="00CF3885"/>
    <w:rsid w:val="00D81701"/>
    <w:rsid w:val="00E30640"/>
    <w:rsid w:val="00EF688A"/>
    <w:rsid w:val="00F26EC8"/>
    <w:rsid w:val="00F85F50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BB1"/>
  <w15:chartTrackingRefBased/>
  <w15:docId w15:val="{0B2DE11F-714E-4C36-930B-EE93AC8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0F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0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0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0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0F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</dc:creator>
  <cp:keywords/>
  <dc:description/>
  <cp:lastModifiedBy>ЭКОНОМОТДЕЛ</cp:lastModifiedBy>
  <cp:revision>14</cp:revision>
  <dcterms:created xsi:type="dcterms:W3CDTF">2022-01-14T05:46:00Z</dcterms:created>
  <dcterms:modified xsi:type="dcterms:W3CDTF">2022-01-17T08:31:00Z</dcterms:modified>
</cp:coreProperties>
</file>